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6E525" w14:textId="77777777" w:rsidR="00B55369" w:rsidRDefault="00B55369" w:rsidP="00015356">
      <w:pPr>
        <w:tabs>
          <w:tab w:val="left" w:pos="5920"/>
        </w:tabs>
        <w:spacing w:line="276" w:lineRule="auto"/>
        <w:rPr>
          <w:rFonts w:asciiTheme="minorEastAsia" w:hAnsiTheme="minorEastAsia" w:cs="宋体"/>
          <w:sz w:val="24"/>
          <w:szCs w:val="24"/>
        </w:rPr>
      </w:pPr>
      <w:r w:rsidRPr="00C97A45">
        <w:rPr>
          <w:rFonts w:asciiTheme="minorEastAsia" w:hAnsiTheme="minorEastAsia" w:cs="宋体"/>
          <w:sz w:val="24"/>
          <w:szCs w:val="24"/>
        </w:rPr>
        <w:t>证券代码：</w:t>
      </w:r>
      <w:r w:rsidRPr="00C97A45">
        <w:rPr>
          <w:rFonts w:asciiTheme="minorEastAsia" w:hAnsiTheme="minorEastAsia" w:cs="Calibri"/>
          <w:sz w:val="24"/>
          <w:szCs w:val="24"/>
        </w:rPr>
        <w:t>6</w:t>
      </w:r>
      <w:r w:rsidRPr="00C97A45">
        <w:rPr>
          <w:rFonts w:asciiTheme="minorEastAsia" w:hAnsiTheme="minorEastAsia" w:cs="Calibri" w:hint="eastAsia"/>
          <w:sz w:val="24"/>
          <w:szCs w:val="24"/>
        </w:rPr>
        <w:t>03861</w:t>
      </w:r>
      <w:r w:rsidRPr="00C97A45">
        <w:rPr>
          <w:rFonts w:asciiTheme="minorEastAsia" w:hAnsiTheme="minorEastAsia"/>
          <w:sz w:val="24"/>
          <w:szCs w:val="24"/>
        </w:rPr>
        <w:tab/>
      </w:r>
      <w:r w:rsidRPr="00C97A45">
        <w:rPr>
          <w:rFonts w:asciiTheme="minorEastAsia" w:hAnsiTheme="minorEastAsia" w:cs="宋体"/>
          <w:sz w:val="24"/>
          <w:szCs w:val="24"/>
        </w:rPr>
        <w:t>证券简称：</w:t>
      </w:r>
      <w:r w:rsidRPr="00C97A45">
        <w:rPr>
          <w:rFonts w:asciiTheme="minorEastAsia" w:hAnsiTheme="minorEastAsia" w:cs="宋体" w:hint="eastAsia"/>
          <w:sz w:val="24"/>
          <w:szCs w:val="24"/>
        </w:rPr>
        <w:t>白云电器</w:t>
      </w:r>
    </w:p>
    <w:p w14:paraId="4166F187" w14:textId="59416A44" w:rsidR="00251AD6" w:rsidRDefault="00251AD6" w:rsidP="00251AD6">
      <w:pPr>
        <w:tabs>
          <w:tab w:val="left" w:pos="5920"/>
        </w:tabs>
        <w:spacing w:line="276" w:lineRule="auto"/>
        <w:rPr>
          <w:rFonts w:asciiTheme="minorEastAsia" w:hAnsiTheme="minorEastAsia" w:cs="宋体"/>
          <w:sz w:val="24"/>
          <w:szCs w:val="24"/>
        </w:rPr>
      </w:pPr>
      <w:r>
        <w:rPr>
          <w:rFonts w:asciiTheme="minorEastAsia" w:hAnsiTheme="minorEastAsia" w:cs="宋体"/>
          <w:sz w:val="24"/>
          <w:szCs w:val="24"/>
        </w:rPr>
        <w:t>转债</w:t>
      </w:r>
      <w:r w:rsidRPr="00C97A45">
        <w:rPr>
          <w:rFonts w:asciiTheme="minorEastAsia" w:hAnsiTheme="minorEastAsia" w:cs="宋体"/>
          <w:sz w:val="24"/>
          <w:szCs w:val="24"/>
        </w:rPr>
        <w:t>代码：</w:t>
      </w:r>
      <w:r>
        <w:rPr>
          <w:rFonts w:asciiTheme="minorEastAsia" w:hAnsiTheme="minorEastAsia" w:cs="Calibri"/>
          <w:sz w:val="24"/>
          <w:szCs w:val="24"/>
        </w:rPr>
        <w:t>113549</w:t>
      </w:r>
      <w:r w:rsidRPr="00C97A45">
        <w:rPr>
          <w:rFonts w:asciiTheme="minorEastAsia" w:hAnsiTheme="minorEastAsia"/>
          <w:sz w:val="24"/>
          <w:szCs w:val="24"/>
        </w:rPr>
        <w:tab/>
      </w:r>
      <w:r>
        <w:rPr>
          <w:rFonts w:asciiTheme="minorEastAsia" w:hAnsiTheme="minorEastAsia" w:cs="宋体" w:hint="eastAsia"/>
          <w:sz w:val="24"/>
          <w:szCs w:val="24"/>
        </w:rPr>
        <w:t>转债</w:t>
      </w:r>
      <w:r w:rsidRPr="00C97A45">
        <w:rPr>
          <w:rFonts w:asciiTheme="minorEastAsia" w:hAnsiTheme="minorEastAsia" w:cs="宋体"/>
          <w:sz w:val="24"/>
          <w:szCs w:val="24"/>
        </w:rPr>
        <w:t>简称：</w:t>
      </w:r>
      <w:r>
        <w:rPr>
          <w:rFonts w:asciiTheme="minorEastAsia" w:hAnsiTheme="minorEastAsia" w:cs="宋体"/>
          <w:sz w:val="24"/>
          <w:szCs w:val="24"/>
        </w:rPr>
        <w:t>白电转债</w:t>
      </w:r>
    </w:p>
    <w:p w14:paraId="7739DB1D" w14:textId="77777777" w:rsidR="00251AD6" w:rsidRDefault="00251AD6" w:rsidP="00251AD6">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广州</w:t>
      </w:r>
      <w:r w:rsidR="00B55369" w:rsidRPr="00C97A45">
        <w:rPr>
          <w:rFonts w:ascii="宋体" w:eastAsia="宋体" w:hAnsi="宋体" w:cs="宋体" w:hint="eastAsia"/>
          <w:b/>
          <w:bCs/>
          <w:sz w:val="32"/>
          <w:szCs w:val="32"/>
        </w:rPr>
        <w:t>白云电器设备</w:t>
      </w:r>
      <w:r w:rsidR="00B55369" w:rsidRPr="00C97A45">
        <w:rPr>
          <w:rFonts w:ascii="宋体" w:eastAsia="宋体" w:hAnsi="宋体" w:cs="宋体"/>
          <w:b/>
          <w:bCs/>
          <w:sz w:val="32"/>
          <w:szCs w:val="32"/>
        </w:rPr>
        <w:t>股份有限公司</w:t>
      </w:r>
    </w:p>
    <w:p w14:paraId="2A41AE09" w14:textId="5FDBBBE0" w:rsidR="00625050" w:rsidRDefault="00B55369" w:rsidP="00251AD6">
      <w:pPr>
        <w:spacing w:line="360" w:lineRule="auto"/>
        <w:jc w:val="center"/>
        <w:rPr>
          <w:rFonts w:ascii="宋体" w:eastAsia="宋体" w:hAnsi="宋体" w:cs="宋体"/>
          <w:b/>
          <w:bCs/>
          <w:sz w:val="32"/>
          <w:szCs w:val="32"/>
        </w:rPr>
      </w:pPr>
      <w:r w:rsidRPr="00C97A45">
        <w:rPr>
          <w:rFonts w:ascii="宋体" w:eastAsia="宋体" w:hAnsi="宋体" w:cs="宋体"/>
          <w:b/>
          <w:bCs/>
          <w:sz w:val="32"/>
          <w:szCs w:val="32"/>
        </w:rPr>
        <w:t>投资者</w:t>
      </w:r>
      <w:r w:rsidR="00251AD6">
        <w:rPr>
          <w:rFonts w:ascii="宋体" w:eastAsia="宋体" w:hAnsi="宋体" w:cs="宋体"/>
          <w:b/>
          <w:bCs/>
          <w:sz w:val="32"/>
          <w:szCs w:val="32"/>
        </w:rPr>
        <w:t>关系</w:t>
      </w:r>
      <w:r w:rsidR="000230D7">
        <w:rPr>
          <w:rFonts w:ascii="宋体" w:eastAsia="宋体" w:hAnsi="宋体" w:cs="宋体" w:hint="eastAsia"/>
          <w:b/>
          <w:bCs/>
          <w:sz w:val="32"/>
          <w:szCs w:val="32"/>
        </w:rPr>
        <w:t>活动</w:t>
      </w:r>
      <w:r w:rsidR="00251AD6">
        <w:rPr>
          <w:rFonts w:ascii="宋体" w:eastAsia="宋体" w:hAnsi="宋体" w:cs="宋体"/>
          <w:b/>
          <w:bCs/>
          <w:sz w:val="32"/>
          <w:szCs w:val="32"/>
        </w:rPr>
        <w:t>记录表</w:t>
      </w:r>
    </w:p>
    <w:tbl>
      <w:tblPr>
        <w:tblStyle w:val="a3"/>
        <w:tblW w:w="5000" w:type="pct"/>
        <w:tblLook w:val="04A0" w:firstRow="1" w:lastRow="0" w:firstColumn="1" w:lastColumn="0" w:noHBand="0" w:noVBand="1"/>
      </w:tblPr>
      <w:tblGrid>
        <w:gridCol w:w="1696"/>
        <w:gridCol w:w="6600"/>
      </w:tblGrid>
      <w:tr w:rsidR="00807B8D" w:rsidRPr="00251AD6" w14:paraId="6581A773" w14:textId="77777777" w:rsidTr="00251AD6">
        <w:tc>
          <w:tcPr>
            <w:tcW w:w="1022" w:type="pct"/>
            <w:vAlign w:val="center"/>
            <w:hideMark/>
          </w:tcPr>
          <w:p w14:paraId="34BE50D5" w14:textId="77777777" w:rsidR="00807B8D" w:rsidRPr="00251AD6" w:rsidRDefault="00807B8D" w:rsidP="00251AD6">
            <w:pPr>
              <w:spacing w:line="360" w:lineRule="auto"/>
              <w:jc w:val="center"/>
              <w:rPr>
                <w:rFonts w:asciiTheme="minorEastAsia" w:hAnsiTheme="minorEastAsia"/>
                <w:sz w:val="24"/>
                <w:szCs w:val="28"/>
              </w:rPr>
            </w:pPr>
            <w:r w:rsidRPr="00251AD6">
              <w:rPr>
                <w:rFonts w:asciiTheme="minorEastAsia" w:hAnsiTheme="minorEastAsia" w:hint="eastAsia"/>
                <w:sz w:val="24"/>
                <w:szCs w:val="28"/>
              </w:rPr>
              <w:t>投资者关系活动类别</w:t>
            </w:r>
          </w:p>
        </w:tc>
        <w:tc>
          <w:tcPr>
            <w:tcW w:w="3978" w:type="pct"/>
            <w:hideMark/>
          </w:tcPr>
          <w:p w14:paraId="7D4FB854" w14:textId="260C731C" w:rsidR="00251AD6" w:rsidRDefault="00807B8D" w:rsidP="00251AD6">
            <w:pPr>
              <w:spacing w:line="360" w:lineRule="auto"/>
              <w:rPr>
                <w:rFonts w:asciiTheme="minorEastAsia" w:hAnsiTheme="minorEastAsia"/>
                <w:sz w:val="24"/>
                <w:szCs w:val="28"/>
              </w:rPr>
            </w:pPr>
            <w:r w:rsidRPr="00251AD6">
              <w:rPr>
                <w:rFonts w:asciiTheme="minorEastAsia" w:hAnsiTheme="minorEastAsia" w:hint="eastAsia"/>
                <w:sz w:val="24"/>
                <w:szCs w:val="28"/>
              </w:rPr>
              <w:t>√特定对象调研</w:t>
            </w:r>
            <w:r w:rsidR="00251AD6">
              <w:rPr>
                <w:rFonts w:asciiTheme="minorEastAsia" w:hAnsiTheme="minorEastAsia"/>
                <w:sz w:val="24"/>
                <w:szCs w:val="28"/>
              </w:rPr>
              <w:t xml:space="preserve">    </w:t>
            </w:r>
            <w:r w:rsidRPr="00251AD6">
              <w:rPr>
                <w:rFonts w:asciiTheme="minorEastAsia" w:hAnsiTheme="minorEastAsia" w:hint="eastAsia"/>
                <w:sz w:val="24"/>
                <w:szCs w:val="28"/>
              </w:rPr>
              <w:t>□分析师会议</w:t>
            </w:r>
            <w:r w:rsidRPr="00251AD6">
              <w:rPr>
                <w:rFonts w:asciiTheme="minorEastAsia" w:hAnsiTheme="minorEastAsia" w:hint="eastAsia"/>
                <w:sz w:val="24"/>
                <w:szCs w:val="28"/>
              </w:rPr>
              <w:tab/>
            </w:r>
          </w:p>
          <w:p w14:paraId="042FD2C0" w14:textId="6AFB91F4" w:rsidR="00807B8D" w:rsidRPr="00251AD6" w:rsidRDefault="00807B8D" w:rsidP="00251AD6">
            <w:pPr>
              <w:spacing w:line="360" w:lineRule="auto"/>
              <w:rPr>
                <w:rFonts w:asciiTheme="minorEastAsia" w:hAnsiTheme="minorEastAsia"/>
                <w:sz w:val="24"/>
                <w:szCs w:val="28"/>
              </w:rPr>
            </w:pPr>
            <w:r w:rsidRPr="00251AD6">
              <w:rPr>
                <w:rFonts w:asciiTheme="minorEastAsia" w:hAnsiTheme="minorEastAsia" w:hint="eastAsia"/>
                <w:sz w:val="24"/>
                <w:szCs w:val="28"/>
              </w:rPr>
              <w:t>□媒体采访</w:t>
            </w:r>
            <w:r w:rsidR="00251AD6">
              <w:rPr>
                <w:rFonts w:asciiTheme="minorEastAsia" w:hAnsiTheme="minorEastAsia"/>
                <w:sz w:val="24"/>
                <w:szCs w:val="28"/>
              </w:rPr>
              <w:t xml:space="preserve">        </w:t>
            </w:r>
            <w:r w:rsidRPr="00251AD6">
              <w:rPr>
                <w:rFonts w:asciiTheme="minorEastAsia" w:hAnsiTheme="minorEastAsia" w:hint="eastAsia"/>
                <w:sz w:val="24"/>
                <w:szCs w:val="28"/>
              </w:rPr>
              <w:t>□业绩说明会</w:t>
            </w:r>
          </w:p>
          <w:p w14:paraId="4632DA13" w14:textId="7B4C4339" w:rsidR="00251AD6" w:rsidRDefault="00807B8D" w:rsidP="00251AD6">
            <w:pPr>
              <w:spacing w:line="360" w:lineRule="auto"/>
              <w:rPr>
                <w:rFonts w:asciiTheme="minorEastAsia" w:hAnsiTheme="minorEastAsia"/>
                <w:sz w:val="24"/>
                <w:szCs w:val="28"/>
              </w:rPr>
            </w:pPr>
            <w:r w:rsidRPr="00251AD6">
              <w:rPr>
                <w:rFonts w:asciiTheme="minorEastAsia" w:hAnsiTheme="minorEastAsia" w:hint="eastAsia"/>
                <w:sz w:val="24"/>
                <w:szCs w:val="28"/>
              </w:rPr>
              <w:t>□新闻发布会</w:t>
            </w:r>
            <w:r w:rsidR="00251AD6">
              <w:rPr>
                <w:rFonts w:asciiTheme="minorEastAsia" w:hAnsiTheme="minorEastAsia"/>
                <w:sz w:val="24"/>
                <w:szCs w:val="28"/>
              </w:rPr>
              <w:t xml:space="preserve">      </w:t>
            </w:r>
            <w:r w:rsidRPr="00251AD6">
              <w:rPr>
                <w:rFonts w:asciiTheme="minorEastAsia" w:hAnsiTheme="minorEastAsia" w:hint="eastAsia"/>
                <w:sz w:val="24"/>
                <w:szCs w:val="28"/>
              </w:rPr>
              <w:t>□路演活动</w:t>
            </w:r>
          </w:p>
          <w:p w14:paraId="39B4BB49" w14:textId="003B0ED0" w:rsidR="00807B8D" w:rsidRPr="00251AD6" w:rsidRDefault="00807B8D" w:rsidP="00251AD6">
            <w:pPr>
              <w:spacing w:line="360" w:lineRule="auto"/>
              <w:rPr>
                <w:rFonts w:asciiTheme="minorEastAsia" w:hAnsiTheme="minorEastAsia"/>
                <w:sz w:val="24"/>
                <w:szCs w:val="28"/>
              </w:rPr>
            </w:pPr>
            <w:r w:rsidRPr="00251AD6">
              <w:rPr>
                <w:rFonts w:asciiTheme="minorEastAsia" w:hAnsiTheme="minorEastAsia" w:hint="eastAsia"/>
                <w:sz w:val="24"/>
                <w:szCs w:val="28"/>
              </w:rPr>
              <w:t>□现场参观</w:t>
            </w:r>
            <w:r w:rsidR="00251AD6">
              <w:rPr>
                <w:rFonts w:asciiTheme="minorEastAsia" w:hAnsiTheme="minorEastAsia"/>
                <w:sz w:val="24"/>
                <w:szCs w:val="28"/>
              </w:rPr>
              <w:t xml:space="preserve">        </w:t>
            </w:r>
            <w:r w:rsidRPr="00251AD6">
              <w:rPr>
                <w:rFonts w:asciiTheme="minorEastAsia" w:hAnsiTheme="minorEastAsia" w:hint="eastAsia"/>
                <w:sz w:val="24"/>
                <w:szCs w:val="28"/>
              </w:rPr>
              <w:t>□其他</w:t>
            </w:r>
            <w:r w:rsidR="00251AD6">
              <w:rPr>
                <w:rFonts w:asciiTheme="minorEastAsia" w:hAnsiTheme="minorEastAsia" w:hint="eastAsia"/>
                <w:sz w:val="24"/>
                <w:szCs w:val="28"/>
                <w:u w:val="single"/>
              </w:rPr>
              <w:t xml:space="preserve"> </w:t>
            </w:r>
            <w:r w:rsidR="00251AD6">
              <w:rPr>
                <w:rFonts w:asciiTheme="minorEastAsia" w:hAnsiTheme="minorEastAsia"/>
                <w:sz w:val="24"/>
                <w:szCs w:val="28"/>
                <w:u w:val="single"/>
              </w:rPr>
              <w:t xml:space="preserve">           </w:t>
            </w:r>
          </w:p>
        </w:tc>
      </w:tr>
      <w:tr w:rsidR="00B55369" w:rsidRPr="00251AD6" w14:paraId="7A2795B0" w14:textId="77777777" w:rsidTr="00251AD6">
        <w:trPr>
          <w:trHeight w:val="1190"/>
        </w:trPr>
        <w:tc>
          <w:tcPr>
            <w:tcW w:w="1022" w:type="pct"/>
            <w:vAlign w:val="center"/>
          </w:tcPr>
          <w:p w14:paraId="3A01CF01" w14:textId="77777777" w:rsidR="00B55369" w:rsidRPr="00251AD6" w:rsidRDefault="00B55369" w:rsidP="00251AD6">
            <w:pPr>
              <w:spacing w:line="360" w:lineRule="auto"/>
              <w:jc w:val="center"/>
              <w:rPr>
                <w:rFonts w:asciiTheme="minorEastAsia" w:hAnsiTheme="minorEastAsia"/>
                <w:sz w:val="24"/>
                <w:szCs w:val="28"/>
              </w:rPr>
            </w:pPr>
            <w:r w:rsidRPr="00251AD6">
              <w:rPr>
                <w:rFonts w:asciiTheme="minorEastAsia" w:hAnsiTheme="minorEastAsia" w:hint="eastAsia"/>
                <w:sz w:val="24"/>
                <w:szCs w:val="28"/>
              </w:rPr>
              <w:t>参会单位名称及人员姓名</w:t>
            </w:r>
          </w:p>
        </w:tc>
        <w:tc>
          <w:tcPr>
            <w:tcW w:w="3978" w:type="pct"/>
            <w:vAlign w:val="center"/>
          </w:tcPr>
          <w:p w14:paraId="120D10A2" w14:textId="7098448A" w:rsidR="00BB5EC8" w:rsidRDefault="00BB5EC8" w:rsidP="00251AD6">
            <w:pPr>
              <w:spacing w:line="360" w:lineRule="auto"/>
              <w:jc w:val="both"/>
              <w:rPr>
                <w:rFonts w:asciiTheme="minorEastAsia" w:hAnsiTheme="minorEastAsia"/>
                <w:sz w:val="24"/>
                <w:szCs w:val="28"/>
              </w:rPr>
            </w:pPr>
            <w:r>
              <w:rPr>
                <w:rFonts w:asciiTheme="minorEastAsia" w:hAnsiTheme="minorEastAsia" w:hint="eastAsia"/>
                <w:sz w:val="24"/>
                <w:szCs w:val="28"/>
              </w:rPr>
              <w:t>中信证券：可转债研究员李天雄</w:t>
            </w:r>
          </w:p>
          <w:p w14:paraId="2D1AD9F0" w14:textId="3B0D1EE5" w:rsidR="00AA2597" w:rsidRPr="00251AD6" w:rsidRDefault="00AF6600" w:rsidP="00251AD6">
            <w:pPr>
              <w:spacing w:line="360" w:lineRule="auto"/>
              <w:jc w:val="both"/>
              <w:rPr>
                <w:rFonts w:asciiTheme="minorEastAsia" w:hAnsiTheme="minorEastAsia"/>
                <w:sz w:val="24"/>
                <w:szCs w:val="28"/>
              </w:rPr>
            </w:pPr>
            <w:r>
              <w:rPr>
                <w:rFonts w:asciiTheme="minorEastAsia" w:hAnsiTheme="minorEastAsia" w:hint="eastAsia"/>
                <w:sz w:val="24"/>
                <w:szCs w:val="28"/>
              </w:rPr>
              <w:t>天风证券</w:t>
            </w:r>
            <w:r w:rsidR="00AA2597" w:rsidRPr="00251AD6">
              <w:rPr>
                <w:rFonts w:asciiTheme="minorEastAsia" w:hAnsiTheme="minorEastAsia" w:hint="eastAsia"/>
                <w:sz w:val="24"/>
                <w:szCs w:val="28"/>
              </w:rPr>
              <w:t>：</w:t>
            </w:r>
            <w:r w:rsidR="00BB5EC8">
              <w:rPr>
                <w:rFonts w:asciiTheme="minorEastAsia" w:hAnsiTheme="minorEastAsia" w:hint="eastAsia"/>
                <w:sz w:val="24"/>
                <w:szCs w:val="28"/>
              </w:rPr>
              <w:t>可转债研究员</w:t>
            </w:r>
            <w:r w:rsidR="0067784A" w:rsidRPr="0067784A">
              <w:rPr>
                <w:rFonts w:asciiTheme="minorEastAsia" w:hAnsiTheme="minorEastAsia" w:hint="eastAsia"/>
                <w:sz w:val="24"/>
                <w:szCs w:val="28"/>
              </w:rPr>
              <w:t>李浩时</w:t>
            </w:r>
          </w:p>
        </w:tc>
      </w:tr>
      <w:tr w:rsidR="00B55369" w:rsidRPr="00251AD6" w14:paraId="0F71A589" w14:textId="77777777" w:rsidTr="00251AD6">
        <w:tc>
          <w:tcPr>
            <w:tcW w:w="1022" w:type="pct"/>
            <w:vAlign w:val="center"/>
          </w:tcPr>
          <w:p w14:paraId="5BA68868" w14:textId="77777777" w:rsidR="00B55369" w:rsidRPr="00251AD6" w:rsidRDefault="00B55369" w:rsidP="00251AD6">
            <w:pPr>
              <w:spacing w:line="360" w:lineRule="auto"/>
              <w:jc w:val="center"/>
              <w:rPr>
                <w:rFonts w:asciiTheme="minorEastAsia" w:hAnsiTheme="minorEastAsia"/>
                <w:sz w:val="24"/>
                <w:szCs w:val="28"/>
              </w:rPr>
            </w:pPr>
            <w:r w:rsidRPr="00251AD6">
              <w:rPr>
                <w:rFonts w:asciiTheme="minorEastAsia" w:hAnsiTheme="minorEastAsia" w:hint="eastAsia"/>
                <w:sz w:val="24"/>
                <w:szCs w:val="28"/>
              </w:rPr>
              <w:t>时间</w:t>
            </w:r>
          </w:p>
        </w:tc>
        <w:tc>
          <w:tcPr>
            <w:tcW w:w="3978" w:type="pct"/>
            <w:vAlign w:val="center"/>
          </w:tcPr>
          <w:p w14:paraId="1ECBE735" w14:textId="2755B3F3" w:rsidR="00B55369" w:rsidRPr="00251AD6" w:rsidRDefault="003F6AEC" w:rsidP="00251AD6">
            <w:pPr>
              <w:spacing w:line="360" w:lineRule="auto"/>
              <w:jc w:val="both"/>
              <w:rPr>
                <w:rFonts w:asciiTheme="minorEastAsia" w:hAnsiTheme="minorEastAsia"/>
                <w:sz w:val="24"/>
                <w:szCs w:val="28"/>
              </w:rPr>
            </w:pPr>
            <w:r w:rsidRPr="00251AD6">
              <w:rPr>
                <w:rFonts w:asciiTheme="minorEastAsia" w:hAnsiTheme="minorEastAsia" w:hint="eastAsia"/>
                <w:sz w:val="24"/>
                <w:szCs w:val="28"/>
              </w:rPr>
              <w:t>202</w:t>
            </w:r>
            <w:r w:rsidR="00E2148D" w:rsidRPr="00251AD6">
              <w:rPr>
                <w:rFonts w:asciiTheme="minorEastAsia" w:hAnsiTheme="minorEastAsia"/>
                <w:sz w:val="24"/>
                <w:szCs w:val="28"/>
              </w:rPr>
              <w:t>3</w:t>
            </w:r>
            <w:r w:rsidRPr="00251AD6">
              <w:rPr>
                <w:rFonts w:asciiTheme="minorEastAsia" w:hAnsiTheme="minorEastAsia" w:hint="eastAsia"/>
                <w:sz w:val="24"/>
                <w:szCs w:val="28"/>
              </w:rPr>
              <w:t>年</w:t>
            </w:r>
            <w:r w:rsidR="00BB5EC8">
              <w:rPr>
                <w:rFonts w:asciiTheme="minorEastAsia" w:hAnsiTheme="minorEastAsia"/>
                <w:sz w:val="24"/>
                <w:szCs w:val="28"/>
              </w:rPr>
              <w:t>9</w:t>
            </w:r>
            <w:r w:rsidRPr="00251AD6">
              <w:rPr>
                <w:rFonts w:asciiTheme="minorEastAsia" w:hAnsiTheme="minorEastAsia" w:hint="eastAsia"/>
                <w:sz w:val="24"/>
                <w:szCs w:val="28"/>
              </w:rPr>
              <w:t>月</w:t>
            </w:r>
            <w:r w:rsidR="00BB5EC8">
              <w:rPr>
                <w:rFonts w:asciiTheme="minorEastAsia" w:hAnsiTheme="minorEastAsia"/>
                <w:sz w:val="24"/>
                <w:szCs w:val="28"/>
              </w:rPr>
              <w:t>12</w:t>
            </w:r>
            <w:r w:rsidRPr="00251AD6">
              <w:rPr>
                <w:rFonts w:asciiTheme="minorEastAsia" w:hAnsiTheme="minorEastAsia" w:hint="eastAsia"/>
                <w:sz w:val="24"/>
                <w:szCs w:val="28"/>
              </w:rPr>
              <w:t>日</w:t>
            </w:r>
          </w:p>
        </w:tc>
      </w:tr>
      <w:tr w:rsidR="00B55369" w:rsidRPr="00251AD6" w14:paraId="568F4D42" w14:textId="77777777" w:rsidTr="00251AD6">
        <w:tc>
          <w:tcPr>
            <w:tcW w:w="1022" w:type="pct"/>
            <w:vAlign w:val="center"/>
          </w:tcPr>
          <w:p w14:paraId="15E844F9" w14:textId="77777777" w:rsidR="00B55369" w:rsidRPr="00251AD6" w:rsidRDefault="00B55369" w:rsidP="00251AD6">
            <w:pPr>
              <w:spacing w:line="360" w:lineRule="auto"/>
              <w:jc w:val="center"/>
              <w:rPr>
                <w:rFonts w:asciiTheme="minorEastAsia" w:hAnsiTheme="minorEastAsia"/>
                <w:sz w:val="24"/>
                <w:szCs w:val="28"/>
              </w:rPr>
            </w:pPr>
            <w:r w:rsidRPr="00251AD6">
              <w:rPr>
                <w:rFonts w:asciiTheme="minorEastAsia" w:hAnsiTheme="minorEastAsia" w:hint="eastAsia"/>
                <w:sz w:val="24"/>
                <w:szCs w:val="28"/>
              </w:rPr>
              <w:t>地点</w:t>
            </w:r>
          </w:p>
        </w:tc>
        <w:tc>
          <w:tcPr>
            <w:tcW w:w="3978" w:type="pct"/>
            <w:vAlign w:val="center"/>
          </w:tcPr>
          <w:p w14:paraId="0AAAD3E2" w14:textId="6198FA93" w:rsidR="00B55369" w:rsidRPr="00251AD6" w:rsidRDefault="00B55369" w:rsidP="00251AD6">
            <w:pPr>
              <w:spacing w:line="360" w:lineRule="auto"/>
              <w:jc w:val="both"/>
              <w:rPr>
                <w:rFonts w:asciiTheme="minorEastAsia" w:hAnsiTheme="minorEastAsia"/>
                <w:sz w:val="24"/>
                <w:szCs w:val="28"/>
              </w:rPr>
            </w:pPr>
            <w:r w:rsidRPr="00251AD6">
              <w:rPr>
                <w:rFonts w:asciiTheme="minorEastAsia" w:hAnsiTheme="minorEastAsia" w:hint="eastAsia"/>
                <w:sz w:val="24"/>
                <w:szCs w:val="28"/>
              </w:rPr>
              <w:t>公司会议室</w:t>
            </w:r>
          </w:p>
        </w:tc>
      </w:tr>
      <w:tr w:rsidR="00B55369" w:rsidRPr="00251AD6" w14:paraId="1175F9B5" w14:textId="77777777" w:rsidTr="00251AD6">
        <w:tc>
          <w:tcPr>
            <w:tcW w:w="1022" w:type="pct"/>
            <w:vAlign w:val="center"/>
          </w:tcPr>
          <w:p w14:paraId="076366E7" w14:textId="77777777" w:rsidR="00B55369" w:rsidRPr="00251AD6" w:rsidRDefault="00B55369" w:rsidP="00251AD6">
            <w:pPr>
              <w:spacing w:line="360" w:lineRule="auto"/>
              <w:jc w:val="center"/>
              <w:rPr>
                <w:rFonts w:asciiTheme="minorEastAsia" w:hAnsiTheme="minorEastAsia"/>
                <w:sz w:val="24"/>
                <w:szCs w:val="28"/>
              </w:rPr>
            </w:pPr>
            <w:r w:rsidRPr="00251AD6">
              <w:rPr>
                <w:rFonts w:asciiTheme="minorEastAsia" w:hAnsiTheme="minorEastAsia" w:hint="eastAsia"/>
                <w:sz w:val="24"/>
                <w:szCs w:val="28"/>
              </w:rPr>
              <w:t>上市公司接待人员姓名</w:t>
            </w:r>
          </w:p>
        </w:tc>
        <w:tc>
          <w:tcPr>
            <w:tcW w:w="3978" w:type="pct"/>
            <w:vAlign w:val="center"/>
          </w:tcPr>
          <w:p w14:paraId="632906EE" w14:textId="77777777" w:rsidR="00D80A92" w:rsidRDefault="00AA2597" w:rsidP="00251AD6">
            <w:pPr>
              <w:spacing w:line="360" w:lineRule="auto"/>
              <w:jc w:val="both"/>
              <w:rPr>
                <w:rFonts w:asciiTheme="minorEastAsia" w:hAnsiTheme="minorEastAsia"/>
                <w:sz w:val="24"/>
                <w:szCs w:val="28"/>
              </w:rPr>
            </w:pPr>
            <w:r w:rsidRPr="00251AD6">
              <w:rPr>
                <w:rFonts w:asciiTheme="minorEastAsia" w:hAnsiTheme="minorEastAsia" w:hint="eastAsia"/>
                <w:sz w:val="24"/>
                <w:szCs w:val="28"/>
              </w:rPr>
              <w:t>董事会秘书：程轶颖</w:t>
            </w:r>
          </w:p>
          <w:p w14:paraId="110BEC53" w14:textId="77980377" w:rsidR="00711B72" w:rsidRPr="00251AD6" w:rsidRDefault="00711B72" w:rsidP="00251AD6">
            <w:pPr>
              <w:spacing w:line="360" w:lineRule="auto"/>
              <w:jc w:val="both"/>
              <w:rPr>
                <w:rFonts w:asciiTheme="minorEastAsia" w:hAnsiTheme="minorEastAsia"/>
                <w:sz w:val="24"/>
                <w:szCs w:val="28"/>
              </w:rPr>
            </w:pPr>
            <w:r>
              <w:rPr>
                <w:rFonts w:asciiTheme="minorEastAsia" w:hAnsiTheme="minorEastAsia" w:hint="eastAsia"/>
                <w:sz w:val="24"/>
                <w:szCs w:val="28"/>
              </w:rPr>
              <w:t>投关主管：周文献</w:t>
            </w:r>
          </w:p>
        </w:tc>
      </w:tr>
      <w:tr w:rsidR="00B55369" w:rsidRPr="00251AD6" w14:paraId="7FCCFCC6" w14:textId="77777777" w:rsidTr="00251AD6">
        <w:tc>
          <w:tcPr>
            <w:tcW w:w="1022" w:type="pct"/>
            <w:vAlign w:val="center"/>
          </w:tcPr>
          <w:p w14:paraId="2DD14C7F" w14:textId="77777777" w:rsidR="00B55369" w:rsidRPr="00251AD6" w:rsidRDefault="00B55369" w:rsidP="00251AD6">
            <w:pPr>
              <w:tabs>
                <w:tab w:val="left" w:pos="840"/>
              </w:tabs>
              <w:spacing w:line="360" w:lineRule="auto"/>
              <w:jc w:val="center"/>
              <w:rPr>
                <w:rFonts w:asciiTheme="minorEastAsia" w:hAnsiTheme="minorEastAsia"/>
                <w:sz w:val="24"/>
                <w:szCs w:val="28"/>
              </w:rPr>
            </w:pPr>
            <w:r w:rsidRPr="00251AD6">
              <w:rPr>
                <w:rFonts w:asciiTheme="minorEastAsia" w:hAnsiTheme="minorEastAsia" w:hint="eastAsia"/>
                <w:sz w:val="24"/>
                <w:szCs w:val="28"/>
              </w:rPr>
              <w:t>投资者关系</w:t>
            </w:r>
            <w:r w:rsidR="003E5FB4" w:rsidRPr="00251AD6">
              <w:rPr>
                <w:rFonts w:asciiTheme="minorEastAsia" w:hAnsiTheme="minorEastAsia" w:hint="eastAsia"/>
                <w:sz w:val="24"/>
                <w:szCs w:val="28"/>
              </w:rPr>
              <w:t>活动</w:t>
            </w:r>
            <w:r w:rsidRPr="00251AD6">
              <w:rPr>
                <w:rFonts w:asciiTheme="minorEastAsia" w:hAnsiTheme="minorEastAsia" w:hint="eastAsia"/>
                <w:sz w:val="24"/>
                <w:szCs w:val="28"/>
              </w:rPr>
              <w:t>主要内容</w:t>
            </w:r>
          </w:p>
        </w:tc>
        <w:tc>
          <w:tcPr>
            <w:tcW w:w="3978" w:type="pct"/>
          </w:tcPr>
          <w:p w14:paraId="15DCF9CA" w14:textId="6972982C" w:rsidR="00BB5EC8" w:rsidRDefault="00C97A45" w:rsidP="00251AD6">
            <w:pPr>
              <w:spacing w:line="360" w:lineRule="auto"/>
              <w:ind w:firstLineChars="200" w:firstLine="482"/>
              <w:rPr>
                <w:rFonts w:asciiTheme="minorEastAsia" w:hAnsiTheme="minorEastAsia"/>
                <w:b/>
                <w:sz w:val="24"/>
                <w:szCs w:val="28"/>
              </w:rPr>
            </w:pPr>
            <w:r w:rsidRPr="00251AD6">
              <w:rPr>
                <w:rFonts w:asciiTheme="minorEastAsia" w:hAnsiTheme="minorEastAsia" w:hint="eastAsia"/>
                <w:b/>
                <w:sz w:val="24"/>
                <w:szCs w:val="28"/>
              </w:rPr>
              <w:t>1、</w:t>
            </w:r>
            <w:r w:rsidR="00BB5EC8">
              <w:rPr>
                <w:rFonts w:asciiTheme="minorEastAsia" w:hAnsiTheme="minorEastAsia" w:hint="eastAsia"/>
                <w:b/>
                <w:sz w:val="24"/>
                <w:szCs w:val="28"/>
              </w:rPr>
              <w:t>公司上半年业绩表现较好的原因</w:t>
            </w:r>
            <w:r w:rsidR="0067784A">
              <w:rPr>
                <w:rFonts w:asciiTheme="minorEastAsia" w:hAnsiTheme="minorEastAsia" w:hint="eastAsia"/>
                <w:b/>
                <w:sz w:val="24"/>
                <w:szCs w:val="28"/>
              </w:rPr>
              <w:t>？</w:t>
            </w:r>
          </w:p>
          <w:p w14:paraId="70AC1A0E" w14:textId="199FCF42" w:rsidR="00BB5EC8" w:rsidRPr="00B107E9" w:rsidRDefault="00B107E9" w:rsidP="00251AD6">
            <w:pPr>
              <w:spacing w:line="360" w:lineRule="auto"/>
              <w:ind w:firstLineChars="200" w:firstLine="480"/>
              <w:rPr>
                <w:rFonts w:asciiTheme="minorEastAsia" w:hAnsiTheme="minorEastAsia"/>
                <w:bCs/>
                <w:sz w:val="24"/>
                <w:szCs w:val="28"/>
              </w:rPr>
            </w:pPr>
            <w:r w:rsidRPr="00B107E9">
              <w:rPr>
                <w:rFonts w:asciiTheme="minorEastAsia" w:hAnsiTheme="minorEastAsia" w:hint="eastAsia"/>
                <w:bCs/>
                <w:sz w:val="24"/>
                <w:szCs w:val="28"/>
              </w:rPr>
              <w:t>2023年上半年公司实现营业收入190,934.60万元，同比增长64.12%，归属于上市公司股东的净利润为5,634.92万元，同比增加11,191.44万元，实现扭亏为盈。主要原因为：一是公司深入整合优势资源，加大市场开拓力度，在电网、传统能源、工业终端等市场持续获得客户订单，同时在轨道交通及新能源等相关市场领域实现了很好的业务增长，故营业收入与上年同期比增幅较大；二是公司对各项费用全面开展精细化管理，在收入增幅较大的同时费用增幅较小，规模效益显现；三是公司交易性金融资产处置收益及在持股权公允价值变动收益较上年同期增加2,136.70万元，主要是公司出售了参股公司广州市品高软件股份有限公司（股票简称：品高股份，股票代码：688227）的部分股权获得投资收益，以及在持股权公允价值变动收益。</w:t>
            </w:r>
          </w:p>
          <w:p w14:paraId="0097D7BB" w14:textId="5541A576" w:rsidR="0056549E" w:rsidRPr="00251AD6" w:rsidRDefault="00BB5EC8" w:rsidP="00251AD6">
            <w:pPr>
              <w:spacing w:line="360" w:lineRule="auto"/>
              <w:ind w:firstLineChars="200" w:firstLine="482"/>
              <w:rPr>
                <w:rFonts w:asciiTheme="minorEastAsia" w:hAnsiTheme="minorEastAsia"/>
                <w:b/>
                <w:sz w:val="24"/>
                <w:szCs w:val="28"/>
              </w:rPr>
            </w:pPr>
            <w:r>
              <w:rPr>
                <w:rFonts w:asciiTheme="minorEastAsia" w:hAnsiTheme="minorEastAsia" w:hint="eastAsia"/>
                <w:b/>
                <w:sz w:val="24"/>
                <w:szCs w:val="28"/>
              </w:rPr>
              <w:t>2、今年特高压项目</w:t>
            </w:r>
            <w:r w:rsidR="00E2148D" w:rsidRPr="00251AD6">
              <w:rPr>
                <w:rFonts w:asciiTheme="minorEastAsia" w:hAnsiTheme="minorEastAsia" w:hint="eastAsia"/>
                <w:b/>
                <w:sz w:val="24"/>
                <w:szCs w:val="28"/>
              </w:rPr>
              <w:t>中标情况</w:t>
            </w:r>
            <w:r>
              <w:rPr>
                <w:rFonts w:asciiTheme="minorEastAsia" w:hAnsiTheme="minorEastAsia" w:hint="eastAsia"/>
                <w:b/>
                <w:sz w:val="24"/>
                <w:szCs w:val="28"/>
              </w:rPr>
              <w:t>及未来展望</w:t>
            </w:r>
            <w:r w:rsidR="00E2148D" w:rsidRPr="00251AD6">
              <w:rPr>
                <w:rFonts w:asciiTheme="minorEastAsia" w:hAnsiTheme="minorEastAsia" w:hint="eastAsia"/>
                <w:b/>
                <w:sz w:val="24"/>
                <w:szCs w:val="28"/>
              </w:rPr>
              <w:t>？</w:t>
            </w:r>
            <w:r w:rsidR="0056549E" w:rsidRPr="00251AD6">
              <w:rPr>
                <w:rFonts w:asciiTheme="minorEastAsia" w:hAnsiTheme="minorEastAsia" w:hint="eastAsia"/>
                <w:b/>
                <w:sz w:val="24"/>
                <w:szCs w:val="28"/>
              </w:rPr>
              <w:t xml:space="preserve"> </w:t>
            </w:r>
          </w:p>
          <w:p w14:paraId="23838023" w14:textId="2C2C718F" w:rsidR="00146633" w:rsidRDefault="0056549E" w:rsidP="00251AD6">
            <w:pPr>
              <w:spacing w:line="360" w:lineRule="auto"/>
              <w:ind w:firstLineChars="200" w:firstLine="480"/>
              <w:rPr>
                <w:rFonts w:asciiTheme="minorEastAsia" w:hAnsiTheme="minorEastAsia"/>
                <w:bCs/>
                <w:sz w:val="24"/>
                <w:szCs w:val="28"/>
              </w:rPr>
            </w:pPr>
            <w:r w:rsidRPr="00251AD6">
              <w:rPr>
                <w:rFonts w:asciiTheme="minorEastAsia" w:hAnsiTheme="minorEastAsia" w:hint="eastAsia"/>
                <w:bCs/>
                <w:sz w:val="24"/>
                <w:szCs w:val="28"/>
              </w:rPr>
              <w:lastRenderedPageBreak/>
              <w:t>答：</w:t>
            </w:r>
            <w:r w:rsidR="00E2148D" w:rsidRPr="00251AD6">
              <w:rPr>
                <w:rFonts w:asciiTheme="minorEastAsia" w:hAnsiTheme="minorEastAsia" w:hint="eastAsia"/>
                <w:bCs/>
                <w:sz w:val="24"/>
                <w:szCs w:val="28"/>
              </w:rPr>
              <w:t>2023年能源工作会议和国家电网2023年工作会议中提出，将驻马店—武汉、武汉—南昌、张北—胜利、川渝特高压工程以及陇东—山东、宁夏—湖南等项目纳入重点推进名单。2023年1-</w:t>
            </w:r>
            <w:r w:rsidR="00AF6600">
              <w:rPr>
                <w:rFonts w:asciiTheme="minorEastAsia" w:hAnsiTheme="minorEastAsia"/>
                <w:bCs/>
                <w:sz w:val="24"/>
                <w:szCs w:val="28"/>
              </w:rPr>
              <w:t>8</w:t>
            </w:r>
            <w:r w:rsidR="00E2148D" w:rsidRPr="00251AD6">
              <w:rPr>
                <w:rFonts w:asciiTheme="minorEastAsia" w:hAnsiTheme="minorEastAsia" w:hint="eastAsia"/>
                <w:bCs/>
                <w:sz w:val="24"/>
                <w:szCs w:val="28"/>
              </w:rPr>
              <w:t>月，川渝1000kV交流特高压工程、陇东-山东±800kV特高压直流输电工程</w:t>
            </w:r>
            <w:r w:rsidR="00265BE9">
              <w:rPr>
                <w:rFonts w:asciiTheme="minorEastAsia" w:hAnsiTheme="minorEastAsia" w:hint="eastAsia"/>
                <w:bCs/>
                <w:sz w:val="24"/>
                <w:szCs w:val="28"/>
              </w:rPr>
              <w:t>、</w:t>
            </w:r>
            <w:r w:rsidR="00146633" w:rsidRPr="00146633">
              <w:rPr>
                <w:rFonts w:asciiTheme="minorEastAsia" w:hAnsiTheme="minorEastAsia" w:hint="eastAsia"/>
                <w:bCs/>
                <w:sz w:val="24"/>
                <w:szCs w:val="28"/>
              </w:rPr>
              <w:t>金上-湖北±8</w:t>
            </w:r>
            <w:r w:rsidR="00146633" w:rsidRPr="00146633">
              <w:rPr>
                <w:rFonts w:asciiTheme="minorEastAsia" w:hAnsiTheme="minorEastAsia"/>
                <w:bCs/>
                <w:sz w:val="24"/>
                <w:szCs w:val="28"/>
              </w:rPr>
              <w:t>00</w:t>
            </w:r>
            <w:r w:rsidR="00146633" w:rsidRPr="00146633">
              <w:rPr>
                <w:rFonts w:asciiTheme="minorEastAsia" w:hAnsiTheme="minorEastAsia" w:hint="eastAsia"/>
                <w:bCs/>
                <w:sz w:val="24"/>
                <w:szCs w:val="28"/>
              </w:rPr>
              <w:t>k</w:t>
            </w:r>
            <w:r w:rsidR="00146633" w:rsidRPr="00146633">
              <w:rPr>
                <w:rFonts w:asciiTheme="minorEastAsia" w:hAnsiTheme="minorEastAsia"/>
                <w:bCs/>
                <w:sz w:val="24"/>
                <w:szCs w:val="28"/>
              </w:rPr>
              <w:t>V</w:t>
            </w:r>
            <w:r w:rsidR="00146633">
              <w:rPr>
                <w:rFonts w:asciiTheme="minorEastAsia" w:hAnsiTheme="minorEastAsia" w:hint="eastAsia"/>
                <w:bCs/>
                <w:sz w:val="24"/>
                <w:szCs w:val="28"/>
              </w:rPr>
              <w:t>特高压</w:t>
            </w:r>
            <w:r w:rsidR="00146633" w:rsidRPr="00146633">
              <w:rPr>
                <w:rFonts w:asciiTheme="minorEastAsia" w:hAnsiTheme="minorEastAsia" w:hint="eastAsia"/>
                <w:bCs/>
                <w:sz w:val="24"/>
                <w:szCs w:val="28"/>
              </w:rPr>
              <w:t>直流</w:t>
            </w:r>
            <w:r w:rsidR="00146633">
              <w:rPr>
                <w:rFonts w:asciiTheme="minorEastAsia" w:hAnsiTheme="minorEastAsia" w:hint="eastAsia"/>
                <w:bCs/>
                <w:sz w:val="24"/>
                <w:szCs w:val="28"/>
              </w:rPr>
              <w:t>输电工程</w:t>
            </w:r>
            <w:r w:rsidR="00146633" w:rsidRPr="00146633">
              <w:rPr>
                <w:rFonts w:asciiTheme="minorEastAsia" w:hAnsiTheme="minorEastAsia" w:hint="eastAsia"/>
                <w:bCs/>
                <w:sz w:val="24"/>
                <w:szCs w:val="28"/>
              </w:rPr>
              <w:t>、宁夏-湖南±8</w:t>
            </w:r>
            <w:r w:rsidR="00146633" w:rsidRPr="00146633">
              <w:rPr>
                <w:rFonts w:asciiTheme="minorEastAsia" w:hAnsiTheme="minorEastAsia"/>
                <w:bCs/>
                <w:sz w:val="24"/>
                <w:szCs w:val="28"/>
              </w:rPr>
              <w:t>00</w:t>
            </w:r>
            <w:r w:rsidR="00146633" w:rsidRPr="00146633">
              <w:rPr>
                <w:rFonts w:asciiTheme="minorEastAsia" w:hAnsiTheme="minorEastAsia" w:hint="eastAsia"/>
                <w:bCs/>
                <w:sz w:val="24"/>
                <w:szCs w:val="28"/>
              </w:rPr>
              <w:t>k</w:t>
            </w:r>
            <w:r w:rsidR="00146633" w:rsidRPr="00146633">
              <w:rPr>
                <w:rFonts w:asciiTheme="minorEastAsia" w:hAnsiTheme="minorEastAsia"/>
                <w:bCs/>
                <w:sz w:val="24"/>
                <w:szCs w:val="28"/>
              </w:rPr>
              <w:t>V</w:t>
            </w:r>
            <w:r w:rsidR="00146633">
              <w:rPr>
                <w:rFonts w:asciiTheme="minorEastAsia" w:hAnsiTheme="minorEastAsia" w:hint="eastAsia"/>
                <w:bCs/>
                <w:sz w:val="24"/>
                <w:szCs w:val="28"/>
              </w:rPr>
              <w:t>特高压</w:t>
            </w:r>
            <w:r w:rsidR="00146633" w:rsidRPr="00146633">
              <w:rPr>
                <w:rFonts w:asciiTheme="minorEastAsia" w:hAnsiTheme="minorEastAsia" w:hint="eastAsia"/>
                <w:bCs/>
                <w:sz w:val="24"/>
                <w:szCs w:val="28"/>
              </w:rPr>
              <w:t>直流</w:t>
            </w:r>
            <w:r w:rsidR="00146633">
              <w:rPr>
                <w:rFonts w:asciiTheme="minorEastAsia" w:hAnsiTheme="minorEastAsia" w:hint="eastAsia"/>
                <w:bCs/>
                <w:sz w:val="24"/>
                <w:szCs w:val="28"/>
              </w:rPr>
              <w:t>输电工程</w:t>
            </w:r>
            <w:r w:rsidR="00E2148D" w:rsidRPr="00251AD6">
              <w:rPr>
                <w:rFonts w:asciiTheme="minorEastAsia" w:hAnsiTheme="minorEastAsia" w:hint="eastAsia"/>
                <w:bCs/>
                <w:sz w:val="24"/>
                <w:szCs w:val="28"/>
              </w:rPr>
              <w:t>已经完成招标，公司控股子公司桂林电力电容器有限公司（以下简称“桂林电容”）实现中标。</w:t>
            </w:r>
          </w:p>
          <w:p w14:paraId="77D6AEBD" w14:textId="717A10BE" w:rsidR="0056549E" w:rsidRPr="00251AD6" w:rsidRDefault="00F36FCC" w:rsidP="00251AD6">
            <w:pPr>
              <w:spacing w:line="360" w:lineRule="auto"/>
              <w:ind w:firstLineChars="200" w:firstLine="480"/>
              <w:rPr>
                <w:rFonts w:asciiTheme="minorEastAsia" w:hAnsiTheme="minorEastAsia"/>
                <w:b/>
                <w:sz w:val="24"/>
                <w:szCs w:val="28"/>
              </w:rPr>
            </w:pPr>
            <w:r w:rsidRPr="00F36FCC">
              <w:rPr>
                <w:rFonts w:asciiTheme="minorEastAsia" w:hAnsiTheme="minorEastAsia" w:hint="eastAsia"/>
                <w:bCs/>
                <w:sz w:val="24"/>
                <w:szCs w:val="28"/>
              </w:rPr>
              <w:t>2023年特高压工程投资建设延续加速推进的势头</w:t>
            </w:r>
            <w:r w:rsidR="0095698F">
              <w:rPr>
                <w:rFonts w:asciiTheme="minorEastAsia" w:hAnsiTheme="minorEastAsia" w:hint="eastAsia"/>
                <w:bCs/>
                <w:sz w:val="24"/>
                <w:szCs w:val="28"/>
              </w:rPr>
              <w:t>，</w:t>
            </w:r>
            <w:r w:rsidR="00E2148D" w:rsidRPr="00251AD6">
              <w:rPr>
                <w:rFonts w:asciiTheme="minorEastAsia" w:hAnsiTheme="minorEastAsia" w:hint="eastAsia"/>
                <w:bCs/>
                <w:sz w:val="24"/>
                <w:szCs w:val="28"/>
              </w:rPr>
              <w:t>未来将有更多清洁能源通过特高压线路跨省区输送，推动“双碳”目标实现。桂林电容作为电网重点供应商，将把握机遇，积极参与特高压建设</w:t>
            </w:r>
            <w:r w:rsidR="0056549E" w:rsidRPr="00251AD6">
              <w:rPr>
                <w:rFonts w:asciiTheme="minorEastAsia" w:hAnsiTheme="minorEastAsia" w:hint="eastAsia"/>
                <w:bCs/>
                <w:sz w:val="24"/>
                <w:szCs w:val="28"/>
              </w:rPr>
              <w:t>。</w:t>
            </w:r>
          </w:p>
          <w:p w14:paraId="46205897" w14:textId="72E131FF" w:rsidR="00C97A45" w:rsidRPr="00251AD6" w:rsidRDefault="009561B7" w:rsidP="00251AD6">
            <w:pPr>
              <w:spacing w:line="360" w:lineRule="auto"/>
              <w:ind w:firstLineChars="200" w:firstLine="482"/>
              <w:rPr>
                <w:rFonts w:asciiTheme="minorEastAsia" w:hAnsiTheme="minorEastAsia"/>
                <w:b/>
                <w:sz w:val="24"/>
                <w:szCs w:val="28"/>
              </w:rPr>
            </w:pPr>
            <w:r w:rsidRPr="007A42E7">
              <w:rPr>
                <w:rFonts w:asciiTheme="minorEastAsia" w:hAnsiTheme="minorEastAsia"/>
                <w:b/>
                <w:sz w:val="24"/>
                <w:szCs w:val="28"/>
              </w:rPr>
              <w:t>3</w:t>
            </w:r>
            <w:r w:rsidR="00C97A45" w:rsidRPr="007A42E7">
              <w:rPr>
                <w:rFonts w:asciiTheme="minorEastAsia" w:hAnsiTheme="minorEastAsia" w:hint="eastAsia"/>
                <w:b/>
                <w:sz w:val="24"/>
                <w:szCs w:val="28"/>
              </w:rPr>
              <w:t>、</w:t>
            </w:r>
            <w:r w:rsidR="002440D2" w:rsidRPr="007A42E7">
              <w:rPr>
                <w:rFonts w:asciiTheme="minorEastAsia" w:hAnsiTheme="minorEastAsia" w:hint="eastAsia"/>
                <w:b/>
                <w:sz w:val="24"/>
                <w:szCs w:val="28"/>
              </w:rPr>
              <w:t>公司</w:t>
            </w:r>
            <w:r w:rsidR="002D40E1" w:rsidRPr="007A42E7">
              <w:rPr>
                <w:rFonts w:asciiTheme="minorEastAsia" w:hAnsiTheme="minorEastAsia" w:hint="eastAsia"/>
                <w:b/>
                <w:sz w:val="24"/>
                <w:szCs w:val="28"/>
              </w:rPr>
              <w:t>今年的业绩目标</w:t>
            </w:r>
            <w:r w:rsidR="00F36FCC">
              <w:rPr>
                <w:rFonts w:asciiTheme="minorEastAsia" w:hAnsiTheme="minorEastAsia" w:hint="eastAsia"/>
                <w:b/>
                <w:sz w:val="24"/>
                <w:szCs w:val="28"/>
              </w:rPr>
              <w:t>是多少</w:t>
            </w:r>
            <w:r w:rsidR="00C97A45" w:rsidRPr="007A42E7">
              <w:rPr>
                <w:rFonts w:asciiTheme="minorEastAsia" w:hAnsiTheme="minorEastAsia" w:hint="eastAsia"/>
                <w:b/>
                <w:sz w:val="24"/>
                <w:szCs w:val="28"/>
              </w:rPr>
              <w:t>？</w:t>
            </w:r>
          </w:p>
          <w:p w14:paraId="01D5D954" w14:textId="35C4CCBE" w:rsidR="00C97A45" w:rsidRPr="00251AD6" w:rsidRDefault="00C97A45" w:rsidP="00251AD6">
            <w:pPr>
              <w:spacing w:line="360" w:lineRule="auto"/>
              <w:ind w:firstLineChars="200" w:firstLine="480"/>
              <w:rPr>
                <w:rFonts w:asciiTheme="minorEastAsia" w:hAnsiTheme="minorEastAsia"/>
                <w:bCs/>
                <w:sz w:val="24"/>
                <w:szCs w:val="28"/>
              </w:rPr>
            </w:pPr>
            <w:r w:rsidRPr="00251AD6">
              <w:rPr>
                <w:rFonts w:asciiTheme="minorEastAsia" w:hAnsiTheme="minorEastAsia" w:hint="eastAsia"/>
                <w:bCs/>
                <w:sz w:val="24"/>
                <w:szCs w:val="28"/>
              </w:rPr>
              <w:t>答：</w:t>
            </w:r>
            <w:r w:rsidR="002D40E1" w:rsidRPr="00251AD6">
              <w:rPr>
                <w:rFonts w:asciiTheme="minorEastAsia" w:hAnsiTheme="minorEastAsia" w:hint="eastAsia"/>
                <w:bCs/>
                <w:sz w:val="24"/>
                <w:szCs w:val="28"/>
              </w:rPr>
              <w:t>2023年公司的业绩目标为,营业总收入38.94亿元，实现归属于母公司的净利润1.03亿元</w:t>
            </w:r>
            <w:r w:rsidRPr="00251AD6">
              <w:rPr>
                <w:rFonts w:asciiTheme="minorEastAsia" w:hAnsiTheme="minorEastAsia" w:hint="eastAsia"/>
                <w:bCs/>
                <w:sz w:val="24"/>
                <w:szCs w:val="28"/>
              </w:rPr>
              <w:t>。</w:t>
            </w:r>
            <w:r w:rsidR="007A42E7">
              <w:rPr>
                <w:rFonts w:asciiTheme="minorEastAsia" w:hAnsiTheme="minorEastAsia" w:hint="eastAsia"/>
                <w:bCs/>
                <w:sz w:val="24"/>
                <w:szCs w:val="28"/>
              </w:rPr>
              <w:t>公司</w:t>
            </w:r>
            <w:r w:rsidR="00D63053" w:rsidRPr="00D63053">
              <w:rPr>
                <w:rFonts w:asciiTheme="minorEastAsia" w:hAnsiTheme="minorEastAsia" w:hint="eastAsia"/>
                <w:bCs/>
                <w:sz w:val="24"/>
                <w:szCs w:val="28"/>
              </w:rPr>
              <w:t>2023年上半年实现营业收入190,934.60万元，同比增长64.12%，归属于上市公司股东的净利润为5,634.92万元；下半年</w:t>
            </w:r>
            <w:r w:rsidR="007A42E7" w:rsidRPr="007A42E7">
              <w:rPr>
                <w:rFonts w:asciiTheme="minorEastAsia" w:hAnsiTheme="minorEastAsia" w:hint="eastAsia"/>
                <w:bCs/>
                <w:sz w:val="24"/>
                <w:szCs w:val="28"/>
              </w:rPr>
              <w:t>公司将根据年初制定的经营目标，有序开展各项经营业务</w:t>
            </w:r>
            <w:r w:rsidR="002D40E1" w:rsidRPr="00251AD6">
              <w:rPr>
                <w:rFonts w:asciiTheme="minorEastAsia" w:hAnsiTheme="minorEastAsia" w:hint="eastAsia"/>
                <w:bCs/>
                <w:sz w:val="24"/>
                <w:szCs w:val="28"/>
              </w:rPr>
              <w:t>，努力达成设定的业绩目标。</w:t>
            </w:r>
          </w:p>
          <w:p w14:paraId="4AE30BF3" w14:textId="0B4BE874" w:rsidR="0056549E" w:rsidRPr="00251AD6" w:rsidRDefault="009561B7" w:rsidP="00251AD6">
            <w:pPr>
              <w:spacing w:line="360" w:lineRule="auto"/>
              <w:ind w:firstLineChars="200" w:firstLine="482"/>
              <w:rPr>
                <w:rFonts w:asciiTheme="minorEastAsia" w:hAnsiTheme="minorEastAsia"/>
                <w:b/>
                <w:sz w:val="24"/>
                <w:szCs w:val="28"/>
              </w:rPr>
            </w:pPr>
            <w:r w:rsidRPr="00251AD6">
              <w:rPr>
                <w:rFonts w:asciiTheme="minorEastAsia" w:hAnsiTheme="minorEastAsia"/>
                <w:b/>
                <w:sz w:val="24"/>
                <w:szCs w:val="28"/>
              </w:rPr>
              <w:t>4</w:t>
            </w:r>
            <w:r w:rsidR="0056755D" w:rsidRPr="00251AD6">
              <w:rPr>
                <w:rFonts w:asciiTheme="minorEastAsia" w:hAnsiTheme="minorEastAsia" w:hint="eastAsia"/>
                <w:b/>
                <w:sz w:val="24"/>
                <w:szCs w:val="28"/>
              </w:rPr>
              <w:t>、</w:t>
            </w:r>
            <w:r w:rsidR="00DA5FF7" w:rsidRPr="00251AD6">
              <w:rPr>
                <w:rFonts w:asciiTheme="minorEastAsia" w:hAnsiTheme="minorEastAsia" w:hint="eastAsia"/>
                <w:b/>
                <w:sz w:val="24"/>
                <w:szCs w:val="28"/>
              </w:rPr>
              <w:t>介绍公司与华为的合作情况</w:t>
            </w:r>
            <w:r w:rsidR="0056549E" w:rsidRPr="00251AD6">
              <w:rPr>
                <w:rFonts w:asciiTheme="minorEastAsia" w:hAnsiTheme="minorEastAsia" w:hint="eastAsia"/>
                <w:b/>
                <w:sz w:val="24"/>
                <w:szCs w:val="28"/>
              </w:rPr>
              <w:t>？</w:t>
            </w:r>
          </w:p>
          <w:p w14:paraId="034E4AFD" w14:textId="7E17F281" w:rsidR="0056549E" w:rsidRPr="00251AD6" w:rsidRDefault="0056549E" w:rsidP="00251AD6">
            <w:pPr>
              <w:spacing w:line="360" w:lineRule="auto"/>
              <w:ind w:firstLineChars="200" w:firstLine="480"/>
              <w:rPr>
                <w:rFonts w:asciiTheme="minorEastAsia" w:hAnsiTheme="minorEastAsia"/>
                <w:bCs/>
                <w:sz w:val="24"/>
                <w:szCs w:val="28"/>
              </w:rPr>
            </w:pPr>
            <w:r w:rsidRPr="00251AD6">
              <w:rPr>
                <w:rFonts w:asciiTheme="minorEastAsia" w:hAnsiTheme="minorEastAsia" w:hint="eastAsia"/>
                <w:bCs/>
                <w:sz w:val="24"/>
                <w:szCs w:val="28"/>
              </w:rPr>
              <w:t>答：</w:t>
            </w:r>
            <w:r w:rsidR="0095698F" w:rsidRPr="0095698F">
              <w:rPr>
                <w:rFonts w:asciiTheme="minorEastAsia" w:hAnsiTheme="minorEastAsia" w:hint="eastAsia"/>
                <w:bCs/>
                <w:sz w:val="24"/>
                <w:szCs w:val="28"/>
              </w:rPr>
              <w:t>公司与华为有业务上的合作，一是为华为的基建项目提供中低压成套开关设备，二是为华为数字能源光伏产品线提供智能配电设备及辅助储能产品</w:t>
            </w:r>
            <w:r w:rsidRPr="00251AD6">
              <w:rPr>
                <w:rFonts w:asciiTheme="minorEastAsia" w:hAnsiTheme="minorEastAsia" w:hint="eastAsia"/>
                <w:bCs/>
                <w:sz w:val="24"/>
                <w:szCs w:val="28"/>
              </w:rPr>
              <w:t>。</w:t>
            </w:r>
          </w:p>
          <w:p w14:paraId="265166D7" w14:textId="54081727" w:rsidR="002041CC" w:rsidRDefault="000036EC" w:rsidP="002041CC">
            <w:pPr>
              <w:spacing w:line="360" w:lineRule="auto"/>
              <w:ind w:firstLineChars="200" w:firstLine="482"/>
              <w:rPr>
                <w:rFonts w:asciiTheme="minorEastAsia" w:hAnsiTheme="minorEastAsia"/>
                <w:b/>
                <w:sz w:val="24"/>
                <w:szCs w:val="28"/>
              </w:rPr>
            </w:pPr>
            <w:r>
              <w:rPr>
                <w:rFonts w:asciiTheme="minorEastAsia" w:hAnsiTheme="minorEastAsia"/>
                <w:b/>
                <w:sz w:val="24"/>
                <w:szCs w:val="28"/>
              </w:rPr>
              <w:t>5</w:t>
            </w:r>
            <w:r w:rsidR="002041CC">
              <w:rPr>
                <w:rFonts w:asciiTheme="minorEastAsia" w:hAnsiTheme="minorEastAsia" w:hint="eastAsia"/>
                <w:b/>
                <w:sz w:val="24"/>
                <w:szCs w:val="28"/>
              </w:rPr>
              <w:t>、公司轨道交通</w:t>
            </w:r>
            <w:r>
              <w:rPr>
                <w:rFonts w:asciiTheme="minorEastAsia" w:hAnsiTheme="minorEastAsia" w:hint="eastAsia"/>
                <w:b/>
                <w:sz w:val="24"/>
                <w:szCs w:val="28"/>
              </w:rPr>
              <w:t>业务主要提供哪些产品和服务？</w:t>
            </w:r>
          </w:p>
          <w:p w14:paraId="0151EFF8" w14:textId="696BF782" w:rsidR="002041CC" w:rsidRPr="002041CC" w:rsidRDefault="002041CC" w:rsidP="002041CC">
            <w:pPr>
              <w:spacing w:line="360" w:lineRule="auto"/>
              <w:ind w:firstLineChars="200" w:firstLine="480"/>
              <w:rPr>
                <w:rFonts w:asciiTheme="minorEastAsia" w:hAnsiTheme="minorEastAsia"/>
                <w:bCs/>
                <w:sz w:val="24"/>
                <w:szCs w:val="28"/>
              </w:rPr>
            </w:pPr>
            <w:r w:rsidRPr="002041CC">
              <w:rPr>
                <w:rFonts w:asciiTheme="minorEastAsia" w:hAnsiTheme="minorEastAsia" w:hint="eastAsia"/>
                <w:bCs/>
                <w:sz w:val="24"/>
                <w:szCs w:val="28"/>
              </w:rPr>
              <w:t>白云电器是国内同行业拥有完整的轨道交通供电系统设备产品链的代表企业之一，产品从110kV GIS到0.4kV开关柜、交直流电源、自动化系统全覆盖，并且每种产品均有运行业绩，拥有强大的产品制造能力和综合集成服务，可以为客户提供绿色环保、智能化、高可靠、免维护的轨道交通供电系统综合解决方案。</w:t>
            </w:r>
          </w:p>
          <w:p w14:paraId="72DDD749" w14:textId="5647D87D" w:rsidR="000E710A" w:rsidRPr="002041CC" w:rsidRDefault="000036EC" w:rsidP="002041CC">
            <w:pPr>
              <w:spacing w:line="360" w:lineRule="auto"/>
              <w:ind w:firstLineChars="200" w:firstLine="482"/>
              <w:rPr>
                <w:rFonts w:asciiTheme="minorEastAsia" w:hAnsiTheme="minorEastAsia"/>
                <w:bCs/>
                <w:sz w:val="24"/>
                <w:szCs w:val="28"/>
              </w:rPr>
            </w:pPr>
            <w:r>
              <w:rPr>
                <w:rFonts w:asciiTheme="minorEastAsia" w:hAnsiTheme="minorEastAsia"/>
                <w:b/>
                <w:sz w:val="24"/>
                <w:szCs w:val="28"/>
              </w:rPr>
              <w:lastRenderedPageBreak/>
              <w:t>6</w:t>
            </w:r>
            <w:r w:rsidR="00B6177C">
              <w:rPr>
                <w:rFonts w:asciiTheme="minorEastAsia" w:hAnsiTheme="minorEastAsia" w:hint="eastAsia"/>
                <w:b/>
                <w:sz w:val="24"/>
                <w:szCs w:val="28"/>
              </w:rPr>
              <w:t>、</w:t>
            </w:r>
            <w:r w:rsidR="000E710A" w:rsidRPr="000E710A">
              <w:rPr>
                <w:rFonts w:asciiTheme="minorEastAsia" w:hAnsiTheme="minorEastAsia" w:hint="eastAsia"/>
                <w:b/>
                <w:sz w:val="24"/>
                <w:szCs w:val="28"/>
              </w:rPr>
              <w:t>除广州地铁外，公司轨道交通业务在省外市场扩张情况？</w:t>
            </w:r>
          </w:p>
          <w:p w14:paraId="4329D5BD" w14:textId="0BE532EC" w:rsidR="00B6177C" w:rsidRDefault="000E710A" w:rsidP="00B6177C">
            <w:pPr>
              <w:spacing w:line="360" w:lineRule="auto"/>
              <w:ind w:firstLineChars="200" w:firstLine="480"/>
              <w:rPr>
                <w:rFonts w:asciiTheme="minorEastAsia" w:hAnsiTheme="minorEastAsia"/>
                <w:bCs/>
                <w:sz w:val="24"/>
                <w:szCs w:val="28"/>
              </w:rPr>
            </w:pPr>
            <w:r>
              <w:rPr>
                <w:rFonts w:asciiTheme="minorEastAsia" w:hAnsiTheme="minorEastAsia" w:hint="eastAsia"/>
                <w:bCs/>
                <w:sz w:val="24"/>
                <w:szCs w:val="28"/>
              </w:rPr>
              <w:t>2</w:t>
            </w:r>
            <w:r>
              <w:rPr>
                <w:rFonts w:asciiTheme="minorEastAsia" w:hAnsiTheme="minorEastAsia"/>
                <w:bCs/>
                <w:sz w:val="24"/>
                <w:szCs w:val="28"/>
              </w:rPr>
              <w:t>023</w:t>
            </w:r>
            <w:r>
              <w:rPr>
                <w:rFonts w:asciiTheme="minorEastAsia" w:hAnsiTheme="minorEastAsia" w:hint="eastAsia"/>
                <w:bCs/>
                <w:sz w:val="24"/>
                <w:szCs w:val="28"/>
              </w:rPr>
              <w:t>年上半年</w:t>
            </w:r>
            <w:r w:rsidRPr="000E710A">
              <w:rPr>
                <w:rFonts w:asciiTheme="minorEastAsia" w:hAnsiTheme="minorEastAsia" w:hint="eastAsia"/>
                <w:bCs/>
                <w:sz w:val="24"/>
                <w:szCs w:val="28"/>
              </w:rPr>
              <w:t>，公司新开拓太原城市轨道交通市场，实现全国34个城市业绩覆盖</w:t>
            </w:r>
            <w:r>
              <w:rPr>
                <w:rFonts w:asciiTheme="minorEastAsia" w:hAnsiTheme="minorEastAsia" w:hint="eastAsia"/>
                <w:bCs/>
                <w:sz w:val="24"/>
                <w:szCs w:val="28"/>
              </w:rPr>
              <w:t>，</w:t>
            </w:r>
            <w:r w:rsidR="00B94D86">
              <w:rPr>
                <w:rFonts w:asciiTheme="minorEastAsia" w:hAnsiTheme="minorEastAsia" w:hint="eastAsia"/>
                <w:bCs/>
                <w:sz w:val="24"/>
                <w:szCs w:val="28"/>
              </w:rPr>
              <w:t>累计</w:t>
            </w:r>
            <w:r w:rsidRPr="000E710A">
              <w:rPr>
                <w:rFonts w:asciiTheme="minorEastAsia" w:hAnsiTheme="minorEastAsia" w:hint="eastAsia"/>
                <w:bCs/>
                <w:sz w:val="24"/>
                <w:szCs w:val="28"/>
              </w:rPr>
              <w:t>参与了</w:t>
            </w:r>
            <w:r w:rsidR="00B94D86">
              <w:rPr>
                <w:rFonts w:asciiTheme="minorEastAsia" w:hAnsiTheme="minorEastAsia" w:hint="eastAsia"/>
                <w:bCs/>
                <w:sz w:val="24"/>
                <w:szCs w:val="28"/>
              </w:rPr>
              <w:t>全国</w:t>
            </w:r>
            <w:r w:rsidR="00D63053">
              <w:rPr>
                <w:rFonts w:asciiTheme="minorEastAsia" w:hAnsiTheme="minorEastAsia"/>
                <w:bCs/>
                <w:sz w:val="24"/>
                <w:szCs w:val="28"/>
              </w:rPr>
              <w:t>115</w:t>
            </w:r>
            <w:r w:rsidRPr="000E710A">
              <w:rPr>
                <w:rFonts w:asciiTheme="minorEastAsia" w:hAnsiTheme="minorEastAsia" w:hint="eastAsia"/>
                <w:bCs/>
                <w:sz w:val="24"/>
                <w:szCs w:val="28"/>
              </w:rPr>
              <w:t>条（段）线路的轨道交通建设</w:t>
            </w:r>
            <w:r w:rsidR="00393E25">
              <w:rPr>
                <w:rFonts w:asciiTheme="minorEastAsia" w:hAnsiTheme="minorEastAsia" w:hint="eastAsia"/>
                <w:bCs/>
                <w:sz w:val="24"/>
                <w:szCs w:val="28"/>
              </w:rPr>
              <w:t>。</w:t>
            </w:r>
          </w:p>
          <w:p w14:paraId="364EAD10" w14:textId="185CED1A" w:rsidR="00EA7737" w:rsidRPr="00B6177C" w:rsidRDefault="000036EC" w:rsidP="00B6177C">
            <w:pPr>
              <w:spacing w:line="360" w:lineRule="auto"/>
              <w:ind w:firstLineChars="200" w:firstLine="482"/>
              <w:rPr>
                <w:rFonts w:asciiTheme="minorEastAsia" w:hAnsiTheme="minorEastAsia"/>
                <w:bCs/>
                <w:sz w:val="24"/>
                <w:szCs w:val="28"/>
              </w:rPr>
            </w:pPr>
            <w:r>
              <w:rPr>
                <w:rFonts w:asciiTheme="minorEastAsia" w:hAnsiTheme="minorEastAsia"/>
                <w:b/>
                <w:sz w:val="24"/>
                <w:szCs w:val="28"/>
              </w:rPr>
              <w:t>7</w:t>
            </w:r>
            <w:r w:rsidR="00B6177C">
              <w:rPr>
                <w:rFonts w:asciiTheme="minorEastAsia" w:hAnsiTheme="minorEastAsia" w:hint="eastAsia"/>
                <w:b/>
                <w:sz w:val="24"/>
                <w:szCs w:val="28"/>
              </w:rPr>
              <w:t>、</w:t>
            </w:r>
            <w:r w:rsidR="00EA7737" w:rsidRPr="00EA7737">
              <w:rPr>
                <w:rFonts w:asciiTheme="minorEastAsia" w:hAnsiTheme="minorEastAsia" w:hint="eastAsia"/>
                <w:b/>
                <w:sz w:val="24"/>
                <w:szCs w:val="28"/>
              </w:rPr>
              <w:t>公司未来发展的重点？</w:t>
            </w:r>
          </w:p>
          <w:p w14:paraId="7EDCB39E" w14:textId="2CFD4CE6" w:rsidR="00EA7737" w:rsidRPr="00B6177C" w:rsidRDefault="002041CC" w:rsidP="00443B78">
            <w:pPr>
              <w:spacing w:line="360" w:lineRule="auto"/>
              <w:ind w:firstLineChars="200" w:firstLine="480"/>
              <w:rPr>
                <w:rFonts w:asciiTheme="minorEastAsia" w:hAnsiTheme="minorEastAsia"/>
                <w:bCs/>
                <w:sz w:val="24"/>
                <w:szCs w:val="28"/>
              </w:rPr>
            </w:pPr>
            <w:r>
              <w:rPr>
                <w:rFonts w:asciiTheme="minorEastAsia" w:hAnsiTheme="minorEastAsia" w:hint="eastAsia"/>
                <w:bCs/>
                <w:sz w:val="24"/>
                <w:szCs w:val="28"/>
              </w:rPr>
              <w:t>公司</w:t>
            </w:r>
            <w:r w:rsidR="00443B78" w:rsidRPr="00443B78">
              <w:rPr>
                <w:rFonts w:asciiTheme="minorEastAsia" w:hAnsiTheme="minorEastAsia" w:hint="eastAsia"/>
                <w:bCs/>
                <w:sz w:val="24"/>
                <w:szCs w:val="28"/>
              </w:rPr>
              <w:t>顺应国家政策和行业发展趋势，围绕公司战略和业务发展布局，以客户为中心，以市场为导向，重塑升级技术能力，提升老产品竞争力，公司将瞄准新能源发展，对研发重点投入，加快推出储能、光伏等一系列新产品及集成解决方案，支持经营目标增长。</w:t>
            </w:r>
          </w:p>
          <w:p w14:paraId="015B04DB" w14:textId="79B2EE7E" w:rsidR="00D63053" w:rsidRPr="00D63053" w:rsidRDefault="000036EC" w:rsidP="00251AD6">
            <w:pPr>
              <w:spacing w:line="360" w:lineRule="auto"/>
              <w:ind w:firstLineChars="200" w:firstLine="482"/>
              <w:rPr>
                <w:rFonts w:asciiTheme="minorEastAsia" w:hAnsiTheme="minorEastAsia"/>
                <w:b/>
                <w:sz w:val="24"/>
                <w:szCs w:val="28"/>
              </w:rPr>
            </w:pPr>
            <w:r>
              <w:rPr>
                <w:rFonts w:asciiTheme="minorEastAsia" w:hAnsiTheme="minorEastAsia"/>
                <w:b/>
                <w:sz w:val="24"/>
                <w:szCs w:val="28"/>
              </w:rPr>
              <w:t>8</w:t>
            </w:r>
            <w:r w:rsidR="002041CC">
              <w:rPr>
                <w:rFonts w:asciiTheme="minorEastAsia" w:hAnsiTheme="minorEastAsia" w:hint="eastAsia"/>
                <w:b/>
                <w:sz w:val="24"/>
                <w:szCs w:val="28"/>
              </w:rPr>
              <w:t>、</w:t>
            </w:r>
            <w:r w:rsidR="00D63053" w:rsidRPr="00D63053">
              <w:rPr>
                <w:rFonts w:asciiTheme="minorEastAsia" w:hAnsiTheme="minorEastAsia" w:hint="eastAsia"/>
                <w:b/>
                <w:sz w:val="24"/>
                <w:szCs w:val="28"/>
              </w:rPr>
              <w:t>公司对可转债是如何规划的</w:t>
            </w:r>
            <w:r w:rsidR="00D63053">
              <w:rPr>
                <w:rFonts w:asciiTheme="minorEastAsia" w:hAnsiTheme="minorEastAsia" w:hint="eastAsia"/>
                <w:b/>
                <w:sz w:val="24"/>
                <w:szCs w:val="28"/>
              </w:rPr>
              <w:t>？</w:t>
            </w:r>
          </w:p>
          <w:p w14:paraId="2224FB64" w14:textId="6FDCBF57" w:rsidR="007A42E7" w:rsidRPr="00251AD6" w:rsidRDefault="00D63053" w:rsidP="007A42E7">
            <w:pPr>
              <w:spacing w:line="360" w:lineRule="auto"/>
              <w:ind w:firstLineChars="200" w:firstLine="480"/>
              <w:rPr>
                <w:rFonts w:asciiTheme="minorEastAsia" w:hAnsiTheme="minorEastAsia"/>
                <w:bCs/>
                <w:sz w:val="24"/>
                <w:szCs w:val="28"/>
              </w:rPr>
            </w:pPr>
            <w:r w:rsidRPr="00D63053">
              <w:rPr>
                <w:rFonts w:asciiTheme="minorEastAsia" w:hAnsiTheme="minorEastAsia" w:hint="eastAsia"/>
                <w:bCs/>
                <w:sz w:val="24"/>
                <w:szCs w:val="28"/>
              </w:rPr>
              <w:t>公司可转债到期日为2025年11月14日，尚有2年存续期。在转股方面，公司将继续做好经营管理，稳步推进各项业务发展，不断提升核心竞争力，努力提升公司的内在价值，同时也通过合规的方式积极的与资本市场进行互动，向资本市场传递公司信息。</w:t>
            </w:r>
          </w:p>
        </w:tc>
      </w:tr>
      <w:tr w:rsidR="00251AD6" w:rsidRPr="00251AD6" w14:paraId="4A9671F4" w14:textId="77777777" w:rsidTr="00251AD6">
        <w:tc>
          <w:tcPr>
            <w:tcW w:w="1022" w:type="pct"/>
            <w:vAlign w:val="center"/>
          </w:tcPr>
          <w:p w14:paraId="04F48C75" w14:textId="77777777" w:rsidR="00251AD6" w:rsidRDefault="00251AD6" w:rsidP="00251AD6">
            <w:pPr>
              <w:tabs>
                <w:tab w:val="left" w:pos="840"/>
              </w:tabs>
              <w:spacing w:line="360" w:lineRule="auto"/>
              <w:jc w:val="center"/>
              <w:rPr>
                <w:rFonts w:asciiTheme="minorEastAsia" w:hAnsiTheme="minorEastAsia"/>
                <w:sz w:val="24"/>
                <w:szCs w:val="28"/>
              </w:rPr>
            </w:pPr>
            <w:r>
              <w:rPr>
                <w:rFonts w:asciiTheme="minorEastAsia" w:hAnsiTheme="minorEastAsia" w:hint="eastAsia"/>
                <w:sz w:val="24"/>
                <w:szCs w:val="28"/>
              </w:rPr>
              <w:lastRenderedPageBreak/>
              <w:t>附件清单</w:t>
            </w:r>
          </w:p>
          <w:p w14:paraId="7E13C08A" w14:textId="34BD229F" w:rsidR="00251AD6" w:rsidRPr="00251AD6" w:rsidRDefault="00251AD6" w:rsidP="00251AD6">
            <w:pPr>
              <w:tabs>
                <w:tab w:val="left" w:pos="840"/>
              </w:tabs>
              <w:spacing w:line="360" w:lineRule="auto"/>
              <w:jc w:val="center"/>
              <w:rPr>
                <w:rFonts w:asciiTheme="minorEastAsia" w:hAnsiTheme="minorEastAsia"/>
                <w:sz w:val="24"/>
                <w:szCs w:val="28"/>
              </w:rPr>
            </w:pPr>
            <w:r>
              <w:rPr>
                <w:rFonts w:asciiTheme="minorEastAsia" w:hAnsiTheme="minorEastAsia" w:hint="eastAsia"/>
                <w:sz w:val="24"/>
                <w:szCs w:val="28"/>
              </w:rPr>
              <w:t>（如有）</w:t>
            </w:r>
          </w:p>
        </w:tc>
        <w:tc>
          <w:tcPr>
            <w:tcW w:w="3978" w:type="pct"/>
            <w:vAlign w:val="center"/>
          </w:tcPr>
          <w:p w14:paraId="56CE7CCC" w14:textId="56E5F77D" w:rsidR="00251AD6" w:rsidRPr="00251AD6" w:rsidRDefault="00251AD6" w:rsidP="00251AD6">
            <w:pPr>
              <w:spacing w:line="360" w:lineRule="auto"/>
              <w:jc w:val="both"/>
              <w:rPr>
                <w:rFonts w:asciiTheme="minorEastAsia" w:hAnsiTheme="minorEastAsia"/>
                <w:sz w:val="24"/>
                <w:szCs w:val="28"/>
              </w:rPr>
            </w:pPr>
            <w:r w:rsidRPr="00251AD6">
              <w:rPr>
                <w:rFonts w:asciiTheme="minorEastAsia" w:hAnsiTheme="minorEastAsia"/>
                <w:sz w:val="24"/>
                <w:szCs w:val="28"/>
              </w:rPr>
              <w:t>无</w:t>
            </w:r>
          </w:p>
        </w:tc>
      </w:tr>
      <w:tr w:rsidR="00251AD6" w:rsidRPr="00251AD6" w14:paraId="21955C7A" w14:textId="77777777" w:rsidTr="00251AD6">
        <w:tc>
          <w:tcPr>
            <w:tcW w:w="1022" w:type="pct"/>
            <w:vAlign w:val="center"/>
          </w:tcPr>
          <w:p w14:paraId="32290076" w14:textId="4F546C6C" w:rsidR="00251AD6" w:rsidRPr="00251AD6" w:rsidRDefault="00251AD6" w:rsidP="00251AD6">
            <w:pPr>
              <w:tabs>
                <w:tab w:val="left" w:pos="840"/>
              </w:tabs>
              <w:spacing w:line="360" w:lineRule="auto"/>
              <w:jc w:val="center"/>
              <w:rPr>
                <w:rFonts w:asciiTheme="minorEastAsia" w:hAnsiTheme="minorEastAsia"/>
                <w:sz w:val="24"/>
                <w:szCs w:val="28"/>
              </w:rPr>
            </w:pPr>
            <w:r>
              <w:rPr>
                <w:rFonts w:asciiTheme="minorEastAsia" w:hAnsiTheme="minorEastAsia" w:hint="eastAsia"/>
                <w:sz w:val="24"/>
                <w:szCs w:val="28"/>
              </w:rPr>
              <w:t>日期</w:t>
            </w:r>
          </w:p>
        </w:tc>
        <w:tc>
          <w:tcPr>
            <w:tcW w:w="3978" w:type="pct"/>
          </w:tcPr>
          <w:p w14:paraId="6A037466" w14:textId="56825AD6" w:rsidR="00251AD6" w:rsidRPr="00B30602" w:rsidRDefault="00251AD6" w:rsidP="00C45DD3">
            <w:pPr>
              <w:spacing w:line="360" w:lineRule="auto"/>
              <w:rPr>
                <w:rFonts w:asciiTheme="minorEastAsia" w:hAnsiTheme="minorEastAsia"/>
                <w:sz w:val="24"/>
                <w:szCs w:val="28"/>
              </w:rPr>
            </w:pPr>
            <w:r w:rsidRPr="00B30602">
              <w:rPr>
                <w:rFonts w:asciiTheme="minorEastAsia" w:hAnsiTheme="minorEastAsia" w:hint="eastAsia"/>
                <w:sz w:val="24"/>
                <w:szCs w:val="28"/>
              </w:rPr>
              <w:t>2</w:t>
            </w:r>
            <w:r w:rsidRPr="00B30602">
              <w:rPr>
                <w:rFonts w:asciiTheme="minorEastAsia" w:hAnsiTheme="minorEastAsia"/>
                <w:sz w:val="24"/>
                <w:szCs w:val="28"/>
              </w:rPr>
              <w:t>023年</w:t>
            </w:r>
            <w:r w:rsidR="00393E25" w:rsidRPr="00B30602">
              <w:rPr>
                <w:rFonts w:asciiTheme="minorEastAsia" w:hAnsiTheme="minorEastAsia"/>
                <w:sz w:val="24"/>
                <w:szCs w:val="28"/>
              </w:rPr>
              <w:t>9</w:t>
            </w:r>
            <w:r w:rsidRPr="00B30602">
              <w:rPr>
                <w:rFonts w:asciiTheme="minorEastAsia" w:hAnsiTheme="minorEastAsia"/>
                <w:sz w:val="24"/>
                <w:szCs w:val="28"/>
              </w:rPr>
              <w:t>月</w:t>
            </w:r>
            <w:r w:rsidR="00204339">
              <w:rPr>
                <w:rFonts w:asciiTheme="minorEastAsia" w:hAnsiTheme="minorEastAsia"/>
                <w:sz w:val="24"/>
                <w:szCs w:val="28"/>
              </w:rPr>
              <w:t>15</w:t>
            </w:r>
            <w:r w:rsidRPr="00B30602">
              <w:rPr>
                <w:rFonts w:asciiTheme="minorEastAsia" w:hAnsiTheme="minorEastAsia" w:hint="eastAsia"/>
                <w:sz w:val="24"/>
                <w:szCs w:val="28"/>
              </w:rPr>
              <w:t>日</w:t>
            </w:r>
          </w:p>
        </w:tc>
      </w:tr>
    </w:tbl>
    <w:p w14:paraId="760A22C6" w14:textId="77777777" w:rsidR="00B55369" w:rsidRPr="00A04E11" w:rsidRDefault="00B55369" w:rsidP="00C97A45">
      <w:pPr>
        <w:spacing w:line="360" w:lineRule="auto"/>
        <w:rPr>
          <w:rFonts w:asciiTheme="minorEastAsia" w:hAnsiTheme="minorEastAsia"/>
          <w:sz w:val="24"/>
          <w:szCs w:val="24"/>
        </w:rPr>
      </w:pPr>
    </w:p>
    <w:sectPr w:rsidR="00B55369" w:rsidRPr="00A04E11" w:rsidSect="000448BD">
      <w:footerReference w:type="default" r:id="rId7"/>
      <w:pgSz w:w="11906" w:h="16838"/>
      <w:pgMar w:top="1276" w:right="1800" w:bottom="1276" w:left="1800" w:header="680"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71D1" w14:textId="77777777" w:rsidR="006A10FF" w:rsidRDefault="006A10FF" w:rsidP="0015016B">
      <w:r>
        <w:separator/>
      </w:r>
    </w:p>
  </w:endnote>
  <w:endnote w:type="continuationSeparator" w:id="0">
    <w:p w14:paraId="2075D2F1" w14:textId="77777777" w:rsidR="006A10FF" w:rsidRDefault="006A10FF" w:rsidP="0015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4782"/>
      <w:docPartObj>
        <w:docPartGallery w:val="Page Numbers (Bottom of Page)"/>
        <w:docPartUnique/>
      </w:docPartObj>
    </w:sdtPr>
    <w:sdtContent>
      <w:sdt>
        <w:sdtPr>
          <w:id w:val="-1669238322"/>
          <w:docPartObj>
            <w:docPartGallery w:val="Page Numbers (Top of Page)"/>
            <w:docPartUnique/>
          </w:docPartObj>
        </w:sdtPr>
        <w:sdtContent>
          <w:p w14:paraId="05DDD2AA" w14:textId="77777777" w:rsidR="00332B99" w:rsidRDefault="00332B99" w:rsidP="00332B9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011CD">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011C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76ED" w14:textId="77777777" w:rsidR="006A10FF" w:rsidRDefault="006A10FF" w:rsidP="0015016B">
      <w:r>
        <w:separator/>
      </w:r>
    </w:p>
  </w:footnote>
  <w:footnote w:type="continuationSeparator" w:id="0">
    <w:p w14:paraId="001A9B5B" w14:textId="77777777" w:rsidR="006A10FF" w:rsidRDefault="006A10FF" w:rsidP="00150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288D"/>
    <w:multiLevelType w:val="hybridMultilevel"/>
    <w:tmpl w:val="A8E27F8A"/>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6B19E3"/>
    <w:multiLevelType w:val="hybridMultilevel"/>
    <w:tmpl w:val="B17C88EC"/>
    <w:lvl w:ilvl="0" w:tplc="4BEE66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0A2F8A"/>
    <w:multiLevelType w:val="hybridMultilevel"/>
    <w:tmpl w:val="A39C34CE"/>
    <w:lvl w:ilvl="0" w:tplc="43B86366">
      <w:start w:val="1"/>
      <w:numFmt w:val="decimal"/>
      <w:lvlText w:val="%1."/>
      <w:lvlJc w:val="left"/>
      <w:pPr>
        <w:ind w:left="360" w:hanging="360"/>
      </w:pPr>
      <w:rPr>
        <w:rFonts w:hint="default"/>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4CA34E1"/>
    <w:multiLevelType w:val="hybridMultilevel"/>
    <w:tmpl w:val="CBFC2FFA"/>
    <w:lvl w:ilvl="0" w:tplc="BB3091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3756C15"/>
    <w:multiLevelType w:val="hybridMultilevel"/>
    <w:tmpl w:val="61183DE4"/>
    <w:lvl w:ilvl="0" w:tplc="0700D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79A2ED6"/>
    <w:multiLevelType w:val="hybridMultilevel"/>
    <w:tmpl w:val="D84A412A"/>
    <w:lvl w:ilvl="0" w:tplc="4BEE66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11973638">
    <w:abstractNumId w:val="3"/>
  </w:num>
  <w:num w:numId="2" w16cid:durableId="1266883587">
    <w:abstractNumId w:val="2"/>
  </w:num>
  <w:num w:numId="3" w16cid:durableId="684210710">
    <w:abstractNumId w:val="4"/>
  </w:num>
  <w:num w:numId="4" w16cid:durableId="2088575544">
    <w:abstractNumId w:val="0"/>
  </w:num>
  <w:num w:numId="5" w16cid:durableId="1554391481">
    <w:abstractNumId w:val="5"/>
  </w:num>
  <w:num w:numId="6" w16cid:durableId="645822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369"/>
    <w:rsid w:val="000036EC"/>
    <w:rsid w:val="00015356"/>
    <w:rsid w:val="000230D7"/>
    <w:rsid w:val="00031FCF"/>
    <w:rsid w:val="000448BD"/>
    <w:rsid w:val="00060140"/>
    <w:rsid w:val="00087D43"/>
    <w:rsid w:val="000A33D4"/>
    <w:rsid w:val="000C758F"/>
    <w:rsid w:val="000E710A"/>
    <w:rsid w:val="0010080F"/>
    <w:rsid w:val="001011CD"/>
    <w:rsid w:val="00146633"/>
    <w:rsid w:val="0015016B"/>
    <w:rsid w:val="001546C9"/>
    <w:rsid w:val="001A198C"/>
    <w:rsid w:val="001A7C6E"/>
    <w:rsid w:val="001B32CC"/>
    <w:rsid w:val="001D3777"/>
    <w:rsid w:val="002041CC"/>
    <w:rsid w:val="00204339"/>
    <w:rsid w:val="00210A0E"/>
    <w:rsid w:val="00235F55"/>
    <w:rsid w:val="00240403"/>
    <w:rsid w:val="002440D2"/>
    <w:rsid w:val="00247C17"/>
    <w:rsid w:val="00251AD6"/>
    <w:rsid w:val="00265BE9"/>
    <w:rsid w:val="002D40E1"/>
    <w:rsid w:val="002E2C50"/>
    <w:rsid w:val="003050D4"/>
    <w:rsid w:val="00332B99"/>
    <w:rsid w:val="00364BAA"/>
    <w:rsid w:val="003840EE"/>
    <w:rsid w:val="00393E25"/>
    <w:rsid w:val="003E116E"/>
    <w:rsid w:val="003E5FB4"/>
    <w:rsid w:val="003F6AEC"/>
    <w:rsid w:val="004034D3"/>
    <w:rsid w:val="00443B78"/>
    <w:rsid w:val="00444DC7"/>
    <w:rsid w:val="00445851"/>
    <w:rsid w:val="00454E43"/>
    <w:rsid w:val="004F2C94"/>
    <w:rsid w:val="00502158"/>
    <w:rsid w:val="00527303"/>
    <w:rsid w:val="0056549E"/>
    <w:rsid w:val="0056755D"/>
    <w:rsid w:val="005742D7"/>
    <w:rsid w:val="00625050"/>
    <w:rsid w:val="00646A6E"/>
    <w:rsid w:val="0067784A"/>
    <w:rsid w:val="00697F7D"/>
    <w:rsid w:val="006A0389"/>
    <w:rsid w:val="006A10FF"/>
    <w:rsid w:val="006D1850"/>
    <w:rsid w:val="00704713"/>
    <w:rsid w:val="00707CF1"/>
    <w:rsid w:val="00711B72"/>
    <w:rsid w:val="007501CF"/>
    <w:rsid w:val="0076215C"/>
    <w:rsid w:val="0076732A"/>
    <w:rsid w:val="007A42E7"/>
    <w:rsid w:val="007A4D3C"/>
    <w:rsid w:val="007C32BF"/>
    <w:rsid w:val="00804DFA"/>
    <w:rsid w:val="00807B8D"/>
    <w:rsid w:val="00867DF3"/>
    <w:rsid w:val="008A405E"/>
    <w:rsid w:val="008E29C1"/>
    <w:rsid w:val="008E5B01"/>
    <w:rsid w:val="00906B5F"/>
    <w:rsid w:val="00913D10"/>
    <w:rsid w:val="00914D6C"/>
    <w:rsid w:val="009561B7"/>
    <w:rsid w:val="0095698F"/>
    <w:rsid w:val="0096767D"/>
    <w:rsid w:val="009A1B70"/>
    <w:rsid w:val="00A04E11"/>
    <w:rsid w:val="00A47528"/>
    <w:rsid w:val="00A525FA"/>
    <w:rsid w:val="00A939A0"/>
    <w:rsid w:val="00AA2597"/>
    <w:rsid w:val="00AA63FD"/>
    <w:rsid w:val="00AE4D91"/>
    <w:rsid w:val="00AF6600"/>
    <w:rsid w:val="00B107E9"/>
    <w:rsid w:val="00B2467E"/>
    <w:rsid w:val="00B30602"/>
    <w:rsid w:val="00B52016"/>
    <w:rsid w:val="00B55369"/>
    <w:rsid w:val="00B6177C"/>
    <w:rsid w:val="00B94D86"/>
    <w:rsid w:val="00BB5EC8"/>
    <w:rsid w:val="00BC2227"/>
    <w:rsid w:val="00BC48C9"/>
    <w:rsid w:val="00C22F5C"/>
    <w:rsid w:val="00C31358"/>
    <w:rsid w:val="00C45DD3"/>
    <w:rsid w:val="00C97A45"/>
    <w:rsid w:val="00CE6823"/>
    <w:rsid w:val="00D02E5D"/>
    <w:rsid w:val="00D63053"/>
    <w:rsid w:val="00D80A92"/>
    <w:rsid w:val="00D92BEC"/>
    <w:rsid w:val="00DA5FF7"/>
    <w:rsid w:val="00DF304B"/>
    <w:rsid w:val="00E168EB"/>
    <w:rsid w:val="00E2148D"/>
    <w:rsid w:val="00E22CA9"/>
    <w:rsid w:val="00EA7737"/>
    <w:rsid w:val="00ED66DA"/>
    <w:rsid w:val="00F36FCC"/>
    <w:rsid w:val="00FB2274"/>
    <w:rsid w:val="00FC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6EFD0"/>
  <w15:docId w15:val="{3DBA91F6-3335-4E05-B4C6-F38B53D9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369"/>
    <w:rPr>
      <w:rFonts w:ascii="Times New Roman"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5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016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5016B"/>
    <w:rPr>
      <w:rFonts w:ascii="Times New Roman" w:hAnsi="Times New Roman" w:cs="Times New Roman"/>
      <w:kern w:val="0"/>
      <w:sz w:val="18"/>
      <w:szCs w:val="18"/>
    </w:rPr>
  </w:style>
  <w:style w:type="paragraph" w:styleId="a6">
    <w:name w:val="footer"/>
    <w:basedOn w:val="a"/>
    <w:link w:val="a7"/>
    <w:uiPriority w:val="99"/>
    <w:unhideWhenUsed/>
    <w:rsid w:val="0015016B"/>
    <w:pPr>
      <w:tabs>
        <w:tab w:val="center" w:pos="4153"/>
        <w:tab w:val="right" w:pos="8306"/>
      </w:tabs>
      <w:snapToGrid w:val="0"/>
    </w:pPr>
    <w:rPr>
      <w:sz w:val="18"/>
      <w:szCs w:val="18"/>
    </w:rPr>
  </w:style>
  <w:style w:type="character" w:customStyle="1" w:styleId="a7">
    <w:name w:val="页脚 字符"/>
    <w:basedOn w:val="a0"/>
    <w:link w:val="a6"/>
    <w:uiPriority w:val="99"/>
    <w:rsid w:val="0015016B"/>
    <w:rPr>
      <w:rFonts w:ascii="Times New Roman" w:hAnsi="Times New Roman" w:cs="Times New Roman"/>
      <w:kern w:val="0"/>
      <w:sz w:val="18"/>
      <w:szCs w:val="18"/>
    </w:rPr>
  </w:style>
  <w:style w:type="paragraph" w:styleId="a8">
    <w:name w:val="List Paragraph"/>
    <w:basedOn w:val="a"/>
    <w:uiPriority w:val="34"/>
    <w:qFormat/>
    <w:rsid w:val="00E22CA9"/>
    <w:pPr>
      <w:ind w:firstLineChars="200" w:firstLine="420"/>
    </w:pPr>
  </w:style>
  <w:style w:type="paragraph" w:styleId="a9">
    <w:name w:val="Balloon Text"/>
    <w:basedOn w:val="a"/>
    <w:link w:val="aa"/>
    <w:uiPriority w:val="99"/>
    <w:semiHidden/>
    <w:unhideWhenUsed/>
    <w:rsid w:val="00C22F5C"/>
    <w:rPr>
      <w:sz w:val="18"/>
      <w:szCs w:val="18"/>
    </w:rPr>
  </w:style>
  <w:style w:type="character" w:customStyle="1" w:styleId="aa">
    <w:name w:val="批注框文本 字符"/>
    <w:basedOn w:val="a0"/>
    <w:link w:val="a9"/>
    <w:uiPriority w:val="99"/>
    <w:semiHidden/>
    <w:rsid w:val="00C22F5C"/>
    <w:rPr>
      <w:rFonts w:ascii="Times New Roman"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89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265</Words>
  <Characters>1511</Characters>
  <Application>Microsoft Office Word</Application>
  <DocSecurity>0</DocSecurity>
  <Lines>12</Lines>
  <Paragraphs>3</Paragraphs>
  <ScaleCrop>false</ScaleCrop>
  <Company>china</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文献 周</cp:lastModifiedBy>
  <cp:revision>25</cp:revision>
  <cp:lastPrinted>2021-09-30T09:19:00Z</cp:lastPrinted>
  <dcterms:created xsi:type="dcterms:W3CDTF">2023-06-14T04:02:00Z</dcterms:created>
  <dcterms:modified xsi:type="dcterms:W3CDTF">2023-09-14T07:52:00Z</dcterms:modified>
</cp:coreProperties>
</file>